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6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0"/>
        <w:jc w:val="center"/>
        <w:spacing w:after="0" w:line="240" w:lineRule="auto"/>
        <w:rPr>
          <w:rFonts w:eastAsiaTheme="minorEastAsia"/>
          <w:b/>
          <w:sz w:val="34"/>
          <w:szCs w:val="28"/>
          <w:lang w:val="en-US"/>
        </w:rPr>
      </w:pPr>
      <w:r>
        <w:rPr>
          <w:rFonts w:eastAsiaTheme="minorEastAsia"/>
          <w:b/>
          <w:sz w:val="34"/>
          <w:szCs w:val="28"/>
        </w:rPr>
      </w:r>
      <w:r>
        <w:rPr>
          <w:rFonts w:ascii="PT Astra Serif" w:hAnsi="PT Astra Serif" w:eastAsia="PT Astra Serif" w:cs="PT Astra Serif"/>
          <w:b/>
          <w:sz w:val="3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746760" cy="906780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1027142" name=""/>
                        <pic:cNvPicPr/>
                        <pic:nvPr/>
                      </pic:nvPicPr>
                      <pic:blipFill>
                        <a:blip r:embed="rId17">
                          <a:extLst>
                            <a:ext uri="{96DAC541-7B7A-43D3-8B79-37D633B846F1}">
                              <asvg:svgBlip xmlns:asvg="http://schemas.microsoft.com/office/drawing/2016/SVG/main" r:embed="rId18"/>
                            </a:ext>
                          </a:extLst>
                        </a:blip>
                        <a:stretch/>
                      </pic:blipFill>
                      <pic:spPr bwMode="auto">
                        <a:xfrm rot="0" flipH="0" flipV="0">
                          <a:off x="0" y="0"/>
                          <a:ext cx="746758" cy="9067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8.80pt;height:71.40pt;mso-wrap-distance-left:0.00pt;mso-wrap-distance-top:0.00pt;mso-wrap-distance-right:0.00pt;mso-wrap-distance-bottom:0.00pt;rotation:0;" stroked="f">
                <v:path textboxrect="0,0,0,0"/>
                <v:imagedata r:id="rId17" o:title=""/>
              </v:shape>
            </w:pict>
          </mc:Fallback>
        </mc:AlternateContent>
      </w:r>
      <w:r>
        <w:rPr>
          <w:rFonts w:eastAsiaTheme="minorEastAsia"/>
          <w:b/>
          <w:sz w:val="34"/>
          <w:szCs w:val="28"/>
          <w:lang w:val="en-US"/>
        </w:rPr>
      </w:r>
      <w:r>
        <w:rPr>
          <w:rFonts w:eastAsiaTheme="minorEastAsia"/>
          <w:b/>
          <w:sz w:val="34"/>
          <w:szCs w:val="28"/>
          <w:lang w:val="en-US"/>
        </w:rPr>
      </w:r>
    </w:p>
    <w:p>
      <w:pPr>
        <w:ind w:firstLine="0"/>
        <w:jc w:val="center"/>
        <w:spacing w:after="0" w:line="240" w:lineRule="auto"/>
        <w:rPr>
          <w:rFonts w:ascii="Times New Roman" w:hAnsi="Times New Roman" w:cs="Times New Roman"/>
          <w:b/>
          <w:sz w:val="16"/>
          <w:szCs w:val="28"/>
        </w:rPr>
      </w:pPr>
      <w:r>
        <w:rPr>
          <w:rFonts w:ascii="Times New Roman" w:hAnsi="Times New Roman" w:eastAsia="Times New Roman" w:cs="Times New Roman" w:eastAsiaTheme="minorEastAsia"/>
          <w:b/>
          <w:sz w:val="16"/>
          <w:szCs w:val="28"/>
          <w:lang w:val="en-US"/>
        </w:rPr>
      </w:r>
      <w:r>
        <w:rPr>
          <w:rFonts w:ascii="Times New Roman" w:hAnsi="Times New Roman" w:cs="Times New Roman"/>
          <w:b/>
          <w:sz w:val="16"/>
          <w:szCs w:val="28"/>
        </w:rPr>
      </w:r>
      <w:r>
        <w:rPr>
          <w:rFonts w:ascii="Times New Roman" w:hAnsi="Times New Roman" w:cs="Times New Roman"/>
          <w:b/>
          <w:sz w:val="16"/>
          <w:szCs w:val="28"/>
        </w:rPr>
      </w:r>
    </w:p>
    <w:p>
      <w:pPr>
        <w:ind w:firstLine="0"/>
        <w:jc w:val="center"/>
        <w:spacing w:after="0" w:line="240" w:lineRule="auto"/>
        <w:rPr>
          <w:rFonts w:ascii="PT Astra Serif" w:hAnsi="PT Astra Serif" w:cs="PT Astra Serif"/>
          <w:b/>
          <w:sz w:val="34"/>
          <w:szCs w:val="28"/>
        </w:rPr>
      </w:pPr>
      <w:r>
        <w:rPr>
          <w:rFonts w:ascii="PT Astra Serif" w:hAnsi="PT Astra Serif" w:eastAsia="PT Astra Serif" w:cs="PT Astra Serif" w:eastAsiaTheme="minorEastAsia"/>
          <w:b/>
          <w:sz w:val="34"/>
          <w:szCs w:val="28"/>
        </w:rPr>
        <w:t xml:space="preserve">ЦЕНТРАЛЬНАЯ ИЗБИРАТЕЛЬНАЯ КОМИССИЯ</w:t>
      </w:r>
      <w:r>
        <w:rPr>
          <w:rFonts w:ascii="PT Astra Serif" w:hAnsi="PT Astra Serif" w:eastAsia="PT Astra Serif" w:cs="PT Astra Serif" w:eastAsiaTheme="minorEastAsia"/>
          <w:b/>
          <w:sz w:val="34"/>
          <w:szCs w:val="28"/>
        </w:rPr>
        <w:br/>
        <w:t xml:space="preserve">РОССИЙСКОЙ ФЕДЕРАЦИИ</w:t>
      </w:r>
      <w:r>
        <w:rPr>
          <w:rFonts w:ascii="PT Astra Serif" w:hAnsi="PT Astra Serif" w:cs="PT Astra Serif"/>
          <w:b/>
          <w:sz w:val="34"/>
          <w:szCs w:val="28"/>
        </w:rPr>
      </w:r>
      <w:r>
        <w:rPr>
          <w:rFonts w:ascii="PT Astra Serif" w:hAnsi="PT Astra Serif" w:cs="PT Astra Serif"/>
          <w:b/>
          <w:sz w:val="34"/>
          <w:szCs w:val="28"/>
        </w:rPr>
      </w:r>
    </w:p>
    <w:p>
      <w:pPr>
        <w:ind w:firstLine="0"/>
        <w:jc w:val="center"/>
        <w:spacing w:after="0" w:line="240" w:lineRule="auto"/>
        <w:rPr>
          <w:rFonts w:ascii="PT Astra Serif" w:hAnsi="PT Astra Serif" w:cs="PT Astra Serif"/>
          <w:szCs w:val="28"/>
        </w:rPr>
      </w:pPr>
      <w:r>
        <w:rPr>
          <w:rFonts w:ascii="PT Astra Serif" w:hAnsi="PT Astra Serif" w:eastAsia="PT Astra Serif" w:cs="PT Astra Serif" w:eastAsiaTheme="minorEastAsia"/>
          <w:sz w:val="28"/>
          <w:szCs w:val="28"/>
        </w:rPr>
      </w:r>
      <w:r>
        <w:rPr>
          <w:rFonts w:ascii="PT Astra Serif" w:hAnsi="PT Astra Serif" w:cs="PT Astra Serif"/>
          <w:szCs w:val="28"/>
        </w:rPr>
      </w:r>
      <w:r>
        <w:rPr>
          <w:rFonts w:ascii="PT Astra Serif" w:hAnsi="PT Astra Serif" w:cs="PT Astra Serif"/>
          <w:szCs w:val="28"/>
        </w:rPr>
      </w:r>
    </w:p>
    <w:p>
      <w:pPr>
        <w:ind w:firstLine="0"/>
        <w:jc w:val="center"/>
        <w:spacing w:after="0" w:line="240" w:lineRule="auto"/>
        <w:rPr>
          <w:rFonts w:ascii="PT Astra Serif" w:hAnsi="PT Astra Serif" w:cs="PT Astra Serif"/>
          <w:b/>
          <w:spacing w:val="60"/>
          <w:sz w:val="32"/>
          <w:szCs w:val="28"/>
        </w:rPr>
      </w:pPr>
      <w:r>
        <w:rPr>
          <w:rFonts w:ascii="PT Astra Serif" w:hAnsi="PT Astra Serif" w:eastAsia="PT Astra Serif" w:cs="PT Astra Serif" w:eastAsiaTheme="minorEastAsia"/>
          <w:b/>
          <w:spacing w:val="60"/>
          <w:sz w:val="32"/>
          <w:szCs w:val="28"/>
        </w:rPr>
        <w:t xml:space="preserve">ПОСТАНОВЛЕНИЕ</w:t>
      </w:r>
      <w:r>
        <w:rPr>
          <w:rFonts w:ascii="PT Astra Serif" w:hAnsi="PT Astra Serif" w:cs="PT Astra Serif"/>
          <w:b/>
          <w:spacing w:val="60"/>
          <w:sz w:val="32"/>
          <w:szCs w:val="28"/>
        </w:rPr>
      </w:r>
      <w:r>
        <w:rPr>
          <w:rFonts w:ascii="PT Astra Serif" w:hAnsi="PT Astra Serif" w:cs="PT Astra Serif"/>
          <w:b/>
          <w:spacing w:val="60"/>
          <w:sz w:val="32"/>
          <w:szCs w:val="28"/>
        </w:rPr>
      </w:r>
    </w:p>
    <w:p>
      <w:pPr>
        <w:ind w:firstLine="0"/>
        <w:jc w:val="center"/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 w:eastAsiaTheme="minorEastAsia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3107"/>
      </w:tblGrid>
      <w:tr>
        <w:tblPrEx/>
        <w:trPr>
          <w:trHeight w:val="287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107" w:type="dxa"/>
            <w:textDirection w:val="lrTb"/>
            <w:noWrap w:val="false"/>
          </w:tcPr>
          <w:p>
            <w:pPr>
              <w:ind w:firstLine="0"/>
              <w:jc w:val="center"/>
              <w:spacing w:after="0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eastAsia="PT Astra Serif" w:cs="PT Astra Serif" w:eastAsiaTheme="minorEastAsia"/>
                <w:sz w:val="28"/>
                <w:szCs w:val="28"/>
              </w:rPr>
              <w:t xml:space="preserve">11 июня 2026 г.</w:t>
            </w:r>
            <w:r>
              <w:rPr>
                <w:rFonts w:ascii="PT Astra Serif" w:hAnsi="PT Astra Serif" w:cs="PT Astra Serif"/>
                <w:szCs w:val="28"/>
              </w:rPr>
            </w:r>
            <w:r>
              <w:rPr>
                <w:rFonts w:ascii="PT Astra Serif" w:hAnsi="PT Astra Serif" w:cs="PT Astra Serif"/>
                <w:szCs w:val="28"/>
              </w:rPr>
            </w:r>
          </w:p>
        </w:tc>
        <w:tc>
          <w:tcPr>
            <w:tcW w:w="3107" w:type="dxa"/>
            <w:textDirection w:val="lrTb"/>
            <w:noWrap w:val="false"/>
          </w:tcPr>
          <w:p>
            <w:pPr>
              <w:ind w:firstLine="0"/>
              <w:jc w:val="right"/>
              <w:spacing w:after="0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eastAsia="PT Astra Serif" w:cs="PT Astra Serif" w:eastAsiaTheme="minorEastAsia"/>
                <w:sz w:val="28"/>
                <w:szCs w:val="28"/>
              </w:rPr>
              <w:t xml:space="preserve">№</w:t>
            </w:r>
            <w:r>
              <w:rPr>
                <w:rFonts w:ascii="PT Astra Serif" w:hAnsi="PT Astra Serif" w:cs="PT Astra Serif"/>
                <w:szCs w:val="28"/>
              </w:rPr>
            </w:r>
            <w:r>
              <w:rPr>
                <w:rFonts w:ascii="PT Astra Serif" w:hAnsi="PT Astra Serif" w:cs="PT Astra Serif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107" w:type="dxa"/>
            <w:textDirection w:val="lrTb"/>
            <w:noWrap w:val="false"/>
          </w:tcPr>
          <w:p>
            <w:pPr>
              <w:ind w:firstLine="0"/>
              <w:jc w:val="left"/>
              <w:spacing w:after="0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eastAsia="PT Astra Serif" w:cs="PT Astra Serif" w:eastAsiaTheme="minorEastAsia"/>
                <w:sz w:val="28"/>
                <w:szCs w:val="28"/>
              </w:rPr>
              <w:t xml:space="preserve">8/83-9</w:t>
            </w:r>
            <w:r>
              <w:rPr>
                <w:rFonts w:ascii="PT Astra Serif" w:hAnsi="PT Astra Serif" w:cs="PT Astra Serif"/>
                <w:szCs w:val="28"/>
              </w:rPr>
            </w:r>
            <w:r>
              <w:rPr>
                <w:rFonts w:ascii="PT Astra Serif" w:hAnsi="PT Astra Serif" w:cs="PT Astra Serif"/>
                <w:szCs w:val="28"/>
              </w:rPr>
            </w:r>
          </w:p>
        </w:tc>
      </w:tr>
    </w:tbl>
    <w:p>
      <w:pPr>
        <w:ind w:firstLine="0"/>
        <w:jc w:val="center"/>
        <w:spacing w:after="0"/>
        <w:rPr>
          <w:rFonts w:ascii="PT Astra Serif" w:hAnsi="PT Astra Serif" w:cs="PT Astra Serif"/>
          <w:b/>
          <w:sz w:val="24"/>
          <w:szCs w:val="28"/>
        </w:rPr>
      </w:pPr>
      <w:r>
        <w:rPr>
          <w:rFonts w:ascii="PT Astra Serif" w:hAnsi="PT Astra Serif" w:eastAsia="PT Astra Serif" w:cs="PT Astra Serif" w:eastAsiaTheme="minorEastAsia"/>
          <w:b/>
          <w:sz w:val="22"/>
          <w:szCs w:val="24"/>
        </w:rPr>
        <w:t xml:space="preserve">Москва</w:t>
      </w:r>
      <w:r>
        <w:rPr>
          <w:rFonts w:ascii="PT Astra Serif" w:hAnsi="PT Astra Serif" w:cs="PT Astra Serif"/>
          <w:b/>
          <w:sz w:val="24"/>
          <w:szCs w:val="28"/>
        </w:rPr>
      </w:r>
      <w:r>
        <w:rPr>
          <w:rFonts w:ascii="PT Astra Serif" w:hAnsi="PT Astra Serif" w:cs="PT Astra Serif"/>
          <w:b/>
          <w:sz w:val="24"/>
          <w:szCs w:val="28"/>
        </w:rPr>
      </w:r>
    </w:p>
    <w:p>
      <w:pPr>
        <w:ind w:firstLine="0"/>
        <w:jc w:val="center"/>
        <w:spacing w:after="0" w:line="240" w:lineRule="auto"/>
        <w:rPr>
          <w:rFonts w:ascii="PT Astra Serif" w:hAnsi="PT Astra Serif" w:cs="PT Astra Serif"/>
          <w:b/>
          <w:szCs w:val="28"/>
        </w:rPr>
      </w:pPr>
      <w:r>
        <w:rPr>
          <w:rFonts w:ascii="PT Astra Serif" w:hAnsi="PT Astra Serif" w:eastAsia="PT Astra Serif" w:cs="PT Astra Serif"/>
          <w:b/>
          <w:szCs w:val="28"/>
        </w:rPr>
      </w:r>
      <w:r>
        <w:rPr>
          <w:rFonts w:ascii="PT Astra Serif" w:hAnsi="PT Astra Serif" w:cs="PT Astra Serif"/>
          <w:b/>
          <w:szCs w:val="28"/>
        </w:rPr>
      </w:r>
      <w:r>
        <w:rPr>
          <w:rFonts w:ascii="PT Astra Serif" w:hAnsi="PT Astra Serif" w:cs="PT Astra Serif"/>
          <w:b/>
          <w:szCs w:val="28"/>
        </w:rPr>
      </w:r>
    </w:p>
    <w:p>
      <w:pPr>
        <w:ind w:firstLine="0"/>
        <w:jc w:val="center"/>
        <w:spacing w:line="240" w:lineRule="auto"/>
        <w:rPr>
          <w:b/>
          <w:bCs/>
          <w:highlight w:val="none"/>
        </w:rPr>
      </w:pPr>
      <w:r>
        <w:rPr>
          <w:b/>
          <w:bCs/>
        </w:rPr>
        <w:t xml:space="preserve">О Порядке открытия, ведения и закрытия специальных избирательных счетов для формирования избирательных фондов кандидатов </w:t>
        <w:br/>
      </w:r>
      <w:r>
        <w:rPr>
          <w:b/>
          <w:bCs/>
        </w:rPr>
        <w:t xml:space="preserve">без личного присутствия (дистанционно) при проведении выборов </w:t>
        <w:br/>
      </w:r>
      <w:r>
        <w:rPr>
          <w:b/>
          <w:bCs/>
        </w:rPr>
        <w:t xml:space="preserve">в органы государственной власти, в органы местного самоуправления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spacing w:line="240" w:lineRule="auto"/>
      </w:pPr>
      <w:r/>
      <w:r/>
    </w:p>
    <w:p>
      <w:pPr>
        <w:spacing w:line="240" w:lineRule="auto"/>
      </w:pPr>
      <w:r/>
      <w:r/>
    </w:p>
    <w:p>
      <w:pPr>
        <w:contextualSpacing w:val="0"/>
        <w:jc w:val="both"/>
        <w:rPr>
          <w:spacing w:val="79"/>
        </w:rPr>
        <w:suppressLineNumbers w:val="0"/>
      </w:pPr>
      <w:r>
        <w:t xml:space="preserve">В соответствии с пунктом 9 статьи 21, пунктами 11 и 12 статьи 58 Федерального закона от 12 июня 2002 года №</w:t>
      </w:r>
      <w:r>
        <w:t xml:space="preserve"> </w:t>
      </w:r>
      <w:r>
        <w:t xml:space="preserve">67-ФЗ «Об основн</w:t>
      </w:r>
      <w:r>
        <w:t xml:space="preserve">ых гарантиях избирательных прав и права на участие в референдуме граждан Российской Федерации», частью 12 статьи 72 Федерального закона от 22 февраля </w:t>
      </w:r>
      <w:r>
        <w:br/>
        <w:t xml:space="preserve">2014 года №</w:t>
      </w:r>
      <w:r>
        <w:t xml:space="preserve"> </w:t>
      </w:r>
      <w:r>
        <w:t xml:space="preserve">20-ФЗ «О выборах депутатов Государственной Думы Федерального Собрания Российской Федерации» Ц</w:t>
      </w:r>
      <w:r>
        <w:t xml:space="preserve">ентральная избирательная комиссия Российской Федерации  </w:t>
      </w:r>
      <w:r>
        <w:rPr>
          <w:spacing w:val="79"/>
        </w:rPr>
        <w:t xml:space="preserve">постановляет:</w:t>
      </w:r>
      <w:r>
        <w:rPr>
          <w:spacing w:val="79"/>
        </w:rPr>
      </w:r>
      <w:r>
        <w:rPr>
          <w:spacing w:val="79"/>
        </w:rPr>
      </w:r>
    </w:p>
    <w:p>
      <w:r>
        <w:t xml:space="preserve">1.</w:t>
      </w:r>
      <w:r>
        <w:t xml:space="preserve"> </w:t>
      </w:r>
      <w:r>
        <w:t xml:space="preserve">Утвердить согласованный с Центральным банком Российской Федерации и Федеральной службой по финансовому мониторингу Порядок открытия, ведения и закрытия специальных избирательных счето</w:t>
      </w:r>
      <w:r>
        <w:t xml:space="preserve">в </w:t>
      </w:r>
      <w:r>
        <w:br/>
        <w:t xml:space="preserve">для формирования избирательных фондов кандидатов без личного присутствия (дистанционно) при проведении выборов в органы государственной власти, в органы местного самоуправления (прилагается).</w:t>
      </w:r>
      <w:r/>
    </w:p>
    <w:p>
      <w:r>
        <w:t xml:space="preserve">2.</w:t>
      </w:r>
      <w:r>
        <w:t xml:space="preserve"> </w:t>
      </w:r>
      <w:r>
        <w:t xml:space="preserve">Признать утратившим силу постановление Центральной избират</w:t>
      </w:r>
      <w:r>
        <w:t xml:space="preserve">ельной комиссии Российской Федерации от 24 декабря 2025 года №</w:t>
      </w:r>
      <w:r>
        <w:t xml:space="preserve"> </w:t>
      </w:r>
      <w:r>
        <w:t xml:space="preserve">215/1655-8 «О Методических рекомендациях по открытию специальных избирательных счетов кандидатов без личного присутствия (дистанционно)».</w:t>
      </w:r>
      <w:r/>
    </w:p>
    <w:p>
      <w:r>
        <w:t xml:space="preserve">3.</w:t>
      </w:r>
      <w:r>
        <w:t xml:space="preserve"> </w:t>
      </w:r>
      <w:r>
        <w:t xml:space="preserve">Опубликовать настоящее постановление в официальном п</w:t>
      </w:r>
      <w:r>
        <w:t xml:space="preserve">ечатном органе Центральной избирательной комиссии Российской Федерации – журнале «Вестник Центральной избирательной комиссии Российской Федерации» и официальном сетевом издании «Вестник Центральной избирательной комиссии Российской Федерации».</w:t>
      </w:r>
      <w:r/>
    </w:p>
    <w:p>
      <w:r/>
      <w:r/>
    </w:p>
    <w:p>
      <w:r/>
      <w:r/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386"/>
        <w:gridCol w:w="3969"/>
      </w:tblGrid>
      <w:tr>
        <w:tblPrEx/>
        <w:trPr/>
        <w:tc>
          <w:tcPr>
            <w:tcW w:w="5386" w:type="dxa"/>
            <w:textDirection w:val="lrTb"/>
            <w:noWrap w:val="false"/>
          </w:tcPr>
          <w:p>
            <w:pPr>
              <w:pStyle w:val="990"/>
              <w:ind w:right="459" w:firstLine="0"/>
              <w:jc w:val="center"/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pPr>
            <w:r>
              <w:rPr>
                <w:rFonts w:ascii="PT Astra Serif" w:hAnsi="PT Astra Serif" w:eastAsia="PT Astra Serif" w:cs="PT Astra Serif"/>
              </w:rPr>
              <w:t xml:space="preserve">Председатель</w:t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</w:p>
          <w:p>
            <w:pPr>
              <w:pStyle w:val="990"/>
              <w:ind w:right="459" w:firstLine="0"/>
              <w:jc w:val="center"/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pPr>
            <w:r>
              <w:rPr>
                <w:rFonts w:ascii="PT Astra Serif" w:hAnsi="PT Astra Serif" w:eastAsia="PT Astra Serif" w:cs="PT Astra Serif"/>
              </w:rPr>
              <w:t xml:space="preserve">Центральной избирательной комиссии Российской Федерации</w:t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</w:p>
        </w:tc>
        <w:tc>
          <w:tcPr>
            <w:tcW w:w="3969" w:type="dxa"/>
            <w:vAlign w:val="bottom"/>
            <w:textDirection w:val="lrTb"/>
            <w:noWrap w:val="false"/>
          </w:tcPr>
          <w:p>
            <w:pPr>
              <w:pStyle w:val="990"/>
              <w:ind w:right="0" w:firstLine="0"/>
              <w:jc w:val="right"/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Э.А. Памфилова</w:t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</w:p>
        </w:tc>
      </w:tr>
      <w:tr>
        <w:tblPrEx/>
        <w:trPr/>
        <w:tc>
          <w:tcPr>
            <w:tcW w:w="5386" w:type="dxa"/>
            <w:textDirection w:val="lrTb"/>
            <w:noWrap w:val="false"/>
          </w:tcPr>
          <w:p>
            <w:pPr>
              <w:pStyle w:val="990"/>
              <w:ind w:right="459" w:firstLine="0"/>
              <w:jc w:val="center"/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990"/>
              <w:ind w:right="0" w:firstLine="0"/>
              <w:jc w:val="right"/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</w:p>
        </w:tc>
      </w:tr>
      <w:tr>
        <w:tblPrEx/>
        <w:trPr/>
        <w:tc>
          <w:tcPr>
            <w:tcW w:w="5386" w:type="dxa"/>
            <w:textDirection w:val="lrTb"/>
            <w:noWrap w:val="false"/>
          </w:tcPr>
          <w:p>
            <w:pPr>
              <w:pStyle w:val="990"/>
              <w:ind w:right="459" w:firstLine="0"/>
              <w:jc w:val="center"/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pPr>
            <w:r>
              <w:rPr>
                <w:rFonts w:ascii="PT Astra Serif" w:hAnsi="PT Astra Serif" w:eastAsia="PT Astra Serif" w:cs="PT Astra Serif"/>
              </w:rPr>
              <w:t xml:space="preserve">Секретарь</w:t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</w:p>
          <w:p>
            <w:pPr>
              <w:pStyle w:val="990"/>
              <w:ind w:right="459" w:firstLine="0"/>
              <w:jc w:val="center"/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pPr>
            <w:r>
              <w:rPr>
                <w:rFonts w:ascii="PT Astra Serif" w:hAnsi="PT Astra Serif" w:eastAsia="PT Astra Serif" w:cs="PT Astra Serif"/>
              </w:rPr>
              <w:t xml:space="preserve">Центральной избирательной комиссии</w:t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</w:p>
          <w:p>
            <w:pPr>
              <w:pStyle w:val="990"/>
              <w:ind w:right="459" w:firstLine="0"/>
              <w:jc w:val="center"/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pPr>
            <w:r>
              <w:rPr>
                <w:rFonts w:ascii="PT Astra Serif" w:hAnsi="PT Astra Serif" w:eastAsia="PT Astra Serif" w:cs="PT Astra Serif"/>
              </w:rPr>
              <w:t xml:space="preserve">Российской Федерации</w:t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</w:p>
        </w:tc>
        <w:tc>
          <w:tcPr>
            <w:tcW w:w="3969" w:type="dxa"/>
            <w:vAlign w:val="bottom"/>
            <w:textDirection w:val="lrTb"/>
            <w:noWrap w:val="false"/>
          </w:tcPr>
          <w:p>
            <w:pPr>
              <w:pStyle w:val="990"/>
              <w:ind w:right="0" w:firstLine="0"/>
              <w:jc w:val="right"/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Н.А. </w:t>
            </w:r>
            <w:r>
              <w:rPr>
                <w:rFonts w:ascii="PT Astra Serif" w:hAnsi="PT Astra Serif" w:eastAsia="PT Astra Serif" w:cs="PT Astra Serif"/>
              </w:rPr>
              <w:t xml:space="preserve">Бударина</w:t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</w:p>
        </w:tc>
      </w:tr>
    </w:tbl>
    <w:p>
      <w:pPr>
        <w:sectPr>
          <w:headerReference w:type="default" r:id="rId8"/>
          <w:headerReference w:type="first" r:id="rId9"/>
          <w:footerReference w:type="default" r:id="rId14"/>
          <w:footerReference w:type="first" r:id="rId15"/>
          <w:footnotePr/>
          <w:endnotePr/>
          <w:type w:val="nextPage"/>
          <w:pgSz w:w="11906" w:h="16838" w:orient="portrait"/>
          <w:pgMar w:top="1134" w:right="850" w:bottom="1134" w:left="1701" w:header="709" w:footer="709" w:gutter="0"/>
          <w:pgNumType w:start="1"/>
          <w:cols w:num="1" w:sep="0" w:space="708" w:equalWidth="1"/>
          <w:docGrid w:linePitch="360"/>
          <w:titlePg/>
        </w:sectPr>
      </w:pPr>
      <w:r/>
      <w:r/>
    </w:p>
    <w:tbl>
      <w:tblPr>
        <w:tblStyle w:val="842"/>
        <w:tblW w:w="0" w:type="auto"/>
        <w:tblLayout w:type="fixed"/>
        <w:tblLook w:val="04A0" w:firstRow="1" w:lastRow="0" w:firstColumn="1" w:lastColumn="0" w:noHBand="0" w:noVBand="1"/>
      </w:tblPr>
      <w:tblGrid>
        <w:gridCol w:w="3118"/>
        <w:gridCol w:w="2976"/>
        <w:gridCol w:w="337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8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СОГЛАСОВАНО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СОГЛАСОВАНО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70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2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8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Центрального банка Российской Федерации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>
              <w:rPr>
                <w:sz w:val="24"/>
                <w:szCs w:val="24"/>
              </w:rPr>
              <w:br/>
              <w:t xml:space="preserve">Федеральной службы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финансовому мониторингу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70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постановлением </w:t>
            </w:r>
            <w:r>
              <w:rPr>
                <w:sz w:val="24"/>
                <w:szCs w:val="24"/>
              </w:rPr>
              <w:t xml:space="preserve">Ц</w:t>
            </w:r>
            <w:r>
              <w:rPr>
                <w:sz w:val="24"/>
                <w:szCs w:val="24"/>
              </w:rPr>
              <w:t xml:space="preserve">ентральной избирательной комиссии Российской Федерации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2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8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70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 июня 2026 г. №8/83-9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2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8" w:type="dxa"/>
            <w:textDirection w:val="lrTb"/>
            <w:noWrap w:val="false"/>
          </w:tcPr>
          <w:p>
            <w:pPr>
              <w:ind w:firstLine="0"/>
              <w:jc w:val="righ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Э.С. </w:t>
            </w:r>
            <w:r>
              <w:rPr>
                <w:sz w:val="24"/>
                <w:szCs w:val="24"/>
              </w:rPr>
              <w:t xml:space="preserve">Набиуллина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ind w:firstLine="0"/>
              <w:jc w:val="righ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Ю.А. </w:t>
            </w:r>
            <w:r>
              <w:rPr>
                <w:sz w:val="24"/>
                <w:szCs w:val="24"/>
              </w:rPr>
              <w:t xml:space="preserve">Чиханчин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70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ind w:firstLine="0"/>
        <w:jc w:val="center"/>
        <w:spacing w:line="240" w:lineRule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0"/>
        <w:jc w:val="center"/>
        <w:spacing w:line="240" w:lineRule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0"/>
        <w:jc w:val="center"/>
        <w:spacing w:line="240" w:lineRule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0"/>
        <w:jc w:val="center"/>
        <w:spacing w:line="240" w:lineRule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0"/>
        <w:jc w:val="center"/>
        <w:spacing w:line="240" w:lineRule="auto"/>
        <w:rPr>
          <w:b/>
          <w:bCs/>
        </w:rPr>
      </w:pPr>
      <w:r>
        <w:rPr>
          <w:b/>
          <w:bCs/>
        </w:rPr>
        <w:t xml:space="preserve">Порядок открытия, ведения и закрытия специальных избирательных счетов для формирования избирательных фондов кандидатов </w:t>
      </w:r>
      <w:r>
        <w:rPr>
          <w:b/>
          <w:bCs/>
        </w:rPr>
        <w:br/>
        <w:t xml:space="preserve">без личного присутствия (дистанционно) при проведении выборов </w:t>
      </w:r>
      <w:r>
        <w:rPr>
          <w:b/>
          <w:bCs/>
        </w:rPr>
        <w:br/>
        <w:t xml:space="preserve">в органы государственной власти, в органы местного самоуправления</w:t>
      </w:r>
      <w:r>
        <w:rPr>
          <w:b/>
          <w:bCs/>
        </w:rPr>
      </w:r>
      <w:r>
        <w:rPr>
          <w:b/>
          <w:bCs/>
        </w:rPr>
      </w:r>
    </w:p>
    <w:p>
      <w:r/>
      <w:r/>
    </w:p>
    <w:p>
      <w:r>
        <w:t xml:space="preserve">В соот</w:t>
      </w:r>
      <w:r>
        <w:t xml:space="preserve">ветствии с пунктами 11 и 12 статьи 58 Федерального закона </w:t>
      </w:r>
      <w:r>
        <w:br/>
        <w:t xml:space="preserve">от 12 июня 2002 года №</w:t>
      </w:r>
      <w:r>
        <w:t xml:space="preserve"> </w:t>
      </w:r>
      <w:r>
        <w:t xml:space="preserve">67-ФЗ «Об основных гарантиях избирательных прав и права на участие в референдуме граждан Российской Федерации» (далее – Федеральный закон), частью 12 статьи 72 Федерального з</w:t>
      </w:r>
      <w:r>
        <w:t xml:space="preserve">акона от 22 февраля 2014 года №</w:t>
      </w:r>
      <w:r>
        <w:t xml:space="preserve"> </w:t>
      </w:r>
      <w:r>
        <w:t xml:space="preserve">20-ФЗ «О выборах депутатов Государственной Думы Федерального Собрания Российской Федерации» Центральная избирательная комиссия Российской Федерации</w:t>
      </w:r>
      <w:r>
        <w:t xml:space="preserve"> по согласованию с Центральным банком Российской Федерации и Федеральной служ</w:t>
      </w:r>
      <w:r>
        <w:t xml:space="preserve">бой по финансовому мониторингу определяет Порядок открытия, ведения и закрытия специальных избирательных счетов для формирования избирательных фондов кандидатов без личного присутствия (дистанционно) при проведении выборов в органы государственной власти, </w:t>
      </w:r>
      <w:r>
        <w:t xml:space="preserve">в органы местного самоуправления (далее – Порядок).</w:t>
      </w:r>
      <w:r/>
    </w:p>
    <w:p>
      <w:r>
        <w:t xml:space="preserve">1.</w:t>
      </w:r>
      <w:r>
        <w:t xml:space="preserve"> </w:t>
      </w:r>
      <w:r>
        <w:t xml:space="preserve">Специальный избирательный счет для формирования избирательного фонда кандидата (далее – специальный избирательный счет) открывается кандидатом без личного присутствия (дистанционно) (далее также – дист</w:t>
      </w:r>
      <w:r>
        <w:t xml:space="preserve">анционное открытие счета) в филиале публичного акционерного общества «Сбербанк России» (далее – ПАО Сбербанк) посредством </w:t>
      </w:r>
      <w:r>
        <w:t xml:space="preserve">цифрового сервиса дистанционного открытия специального избирательного счета.</w:t>
      </w:r>
      <w:r/>
    </w:p>
    <w:p>
      <w:r>
        <w:t xml:space="preserve">2.</w:t>
      </w:r>
      <w:r>
        <w:t xml:space="preserve"> </w:t>
      </w:r>
      <w:r>
        <w:t xml:space="preserve">Для дистанционного открытия счета кандидат должен:</w:t>
      </w:r>
      <w:r/>
    </w:p>
    <w:p>
      <w:r>
        <w:t xml:space="preserve">являться действующим клиентом ПАО Сбербанк;</w:t>
      </w:r>
      <w:r/>
    </w:p>
    <w:p>
      <w:r>
        <w:rPr>
          <w:rFonts w:ascii="Times New Roman" w:hAnsi="Times New Roman" w:cs="Times New Roman"/>
          <w:shd w:val="clear" w:color="auto" w:fill="ffffff"/>
          <w:lang w:eastAsia="ru-RU"/>
        </w:rPr>
        <w:t xml:space="preserve">быть </w:t>
      </w:r>
      <w:r>
        <w:rPr>
          <w:rFonts w:ascii="Times New Roman" w:hAnsi="Times New Roman" w:cs="Times New Roman"/>
          <w:lang w:eastAsia="ru-RU"/>
        </w:rPr>
        <w:t xml:space="preserve">зарегистрированным пользователем системы </w:t>
      </w:r>
      <w:r>
        <w:rPr>
          <w:rFonts w:ascii="Times New Roman" w:hAnsi="Times New Roman" w:cs="Times New Roman"/>
          <w:shd w:val="clear" w:color="auto" w:fill="ffffff"/>
          <w:lang w:eastAsia="ru-RU"/>
        </w:rPr>
        <w:t xml:space="preserve">ПАО Сбербанк </w:t>
      </w:r>
      <w:r>
        <w:rPr>
          <w:rFonts w:ascii="Times New Roman" w:hAnsi="Times New Roman" w:cs="Times New Roman"/>
          <w:lang w:eastAsia="ru-RU"/>
        </w:rPr>
        <w:t xml:space="preserve">СберБанк</w:t>
      </w:r>
      <w:r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 xml:space="preserve">Онлайн</w:t>
      </w:r>
      <w:r>
        <w:rPr>
          <w:rFonts w:ascii="Times New Roman" w:hAnsi="Times New Roman" w:cs="Times New Roman"/>
          <w:lang w:eastAsia="ru-RU"/>
        </w:rPr>
        <w:t xml:space="preserve"> (далее – система </w:t>
      </w:r>
      <w:r>
        <w:rPr>
          <w:rFonts w:ascii="Times New Roman" w:hAnsi="Times New Roman" w:cs="Times New Roman"/>
          <w:lang w:eastAsia="ru-RU"/>
        </w:rPr>
        <w:t xml:space="preserve">СберБанк</w:t>
      </w:r>
      <w:r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 xml:space="preserve">Онлайн</w:t>
      </w:r>
      <w:r>
        <w:rPr>
          <w:rFonts w:ascii="Times New Roman" w:hAnsi="Times New Roman" w:cs="Times New Roman"/>
          <w:lang w:eastAsia="ru-RU"/>
        </w:rPr>
        <w:t xml:space="preserve">) и иметь установленное на мобильный телефон приложение </w:t>
      </w:r>
      <w:r>
        <w:rPr>
          <w:rFonts w:ascii="Times New Roman" w:hAnsi="Times New Roman" w:cs="Times New Roman"/>
          <w:lang w:eastAsia="ru-RU"/>
        </w:rPr>
        <w:t xml:space="preserve">СберБанк</w:t>
      </w:r>
      <w:r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 xml:space="preserve">Онлайн</w:t>
      </w:r>
      <w:r>
        <w:rPr>
          <w:rStyle w:val="971"/>
          <w:rFonts w:ascii="Times New Roman" w:hAnsi="Times New Roman" w:cs="Times New Roman"/>
          <w:lang w:eastAsia="ru-RU"/>
        </w:rPr>
        <w:footnoteReference w:id="2"/>
      </w:r>
      <w:r>
        <w:rPr>
          <w:rFonts w:ascii="Times New Roman" w:hAnsi="Times New Roman" w:cs="Times New Roman"/>
          <w:lang w:eastAsia="ru-RU"/>
        </w:rPr>
        <w:t xml:space="preserve">;</w:t>
      </w:r>
      <w:r/>
    </w:p>
    <w:p>
      <w:r>
        <w:t xml:space="preserve">и</w:t>
      </w:r>
      <w:r>
        <w:t xml:space="preserve">меть паспорт гражданина Российской Федерации, выданный не менее чем за 10 рабочих дней до дня представления в соответствующую избирательную комиссию заявления о намерении открыть специальный избирательный счет без личного присутствия (дистанционно) и согла</w:t>
      </w:r>
      <w:r>
        <w:t xml:space="preserve">сии </w:t>
      </w:r>
      <w:r>
        <w:br/>
        <w:t xml:space="preserve">на передачу персональных данных публичному акционерному обществу «Сбербанк России» (далее – Заявление).</w:t>
      </w:r>
      <w:r/>
    </w:p>
    <w:p>
      <w:r>
        <w:t xml:space="preserve">не являться банкротом и не находиться в стадии банкротства;</w:t>
      </w:r>
      <w:r/>
    </w:p>
    <w:p>
      <w:r>
        <w:t xml:space="preserve">не иметь заблокированных банком счетов;</w:t>
      </w:r>
      <w:r/>
    </w:p>
    <w:p>
      <w:r>
        <w:t xml:space="preserve">не иметь установленных запретов (</w:t>
      </w:r>
      <w:r>
        <w:t xml:space="preserve">самозапретов</w:t>
      </w:r>
      <w:r>
        <w:t xml:space="preserve">) </w:t>
      </w:r>
      <w:r>
        <w:t xml:space="preserve">на получение любых </w:t>
      </w:r>
      <w:r>
        <w:t xml:space="preserve">СМС-сообщений</w:t>
      </w:r>
      <w:r>
        <w:t xml:space="preserve">, а также убедиться в том, что </w:t>
      </w:r>
      <w:r>
        <w:t xml:space="preserve">СМС-сообщения</w:t>
      </w:r>
      <w:r>
        <w:t xml:space="preserve"> с коротких номеров не попадают в спам.</w:t>
      </w:r>
      <w:r/>
    </w:p>
    <w:p>
      <w:r>
        <w:t xml:space="preserve">3.</w:t>
      </w:r>
      <w:r>
        <w:t xml:space="preserve"> </w:t>
      </w:r>
      <w:r>
        <w:t xml:space="preserve">Без личного присутствия (дистанционно) специальный избирательный счет не может быть открыт при наличии предусмотренных абзацем седьмым пу</w:t>
      </w:r>
      <w:r>
        <w:t xml:space="preserve">нкта 5 статьи 7 Федерального закона от 7 августа </w:t>
      </w:r>
      <w:r>
        <w:br/>
        <w:t xml:space="preserve">2001 года №</w:t>
      </w:r>
      <w:r>
        <w:t xml:space="preserve"> </w:t>
      </w:r>
      <w:r>
        <w:t xml:space="preserve">115-ФЗ «О противодействии легализации (отмыванию) доходов, полученных преступным путем, и финансированию терроризма» оснований, при которых открытие кредитной организацией счета клиента без личн</w:t>
      </w:r>
      <w:r>
        <w:t xml:space="preserve">ого присутствия запрещено. </w:t>
      </w:r>
      <w:r/>
    </w:p>
    <w:p>
      <w:r>
        <w:t xml:space="preserve">4.</w:t>
      </w:r>
      <w:r>
        <w:t xml:space="preserve"> </w:t>
      </w:r>
      <w:r>
        <w:t xml:space="preserve">При отсутствии технической возможности дистанционного </w:t>
      </w:r>
      <w:r>
        <w:br/>
        <w:t xml:space="preserve">открытия счета кандидат либо уполномоченный представитель кандидата </w:t>
      </w:r>
      <w:r>
        <w:br/>
        <w:t xml:space="preserve">по финансовым вопросам (в случае его назначения и наличия </w:t>
      </w:r>
      <w:r>
        <w:t xml:space="preserve">соответствующих полномочий) открывает специ</w:t>
      </w:r>
      <w:r>
        <w:t xml:space="preserve">ал</w:t>
      </w:r>
      <w:r>
        <w:t xml:space="preserve">ьный избирательный счет в филиале ПАО Сбербанк при личном присутствии в соответствии </w:t>
        <w:br/>
        <w:t xml:space="preserve">с порядком открытия, ведения и закрытия специальных избирательных счетов, утверждаемым соответствующей избирательной комиссией </w:t>
        <w:br/>
        <w:t xml:space="preserve">на основании пункта 12 статьи 58 Федеральн</w:t>
      </w:r>
      <w:r>
        <w:t xml:space="preserve">ого закона.</w:t>
      </w:r>
      <w:r/>
    </w:p>
    <w:p>
      <w:r>
        <w:t xml:space="preserve">5.</w:t>
      </w:r>
      <w:r>
        <w:t xml:space="preserve"> </w:t>
      </w:r>
      <w:r>
        <w:t xml:space="preserve">Кандидат для дистанционного открытия счета представляет </w:t>
      </w:r>
      <w:r>
        <w:br/>
        <w:t xml:space="preserve">в соответствующую избирательную комиссию Заявление по форме, приведенной в приложении №</w:t>
      </w:r>
      <w:r>
        <w:t xml:space="preserve"> </w:t>
      </w:r>
      <w:r>
        <w:t xml:space="preserve">1 к Порядку.</w:t>
      </w:r>
      <w:r/>
    </w:p>
    <w:p>
      <w:r>
        <w:t xml:space="preserve">6.</w:t>
      </w:r>
      <w:r>
        <w:t xml:space="preserve"> </w:t>
      </w:r>
      <w:r>
        <w:t xml:space="preserve">После принятия решения (подписания документа) соответствующей избирательной коми</w:t>
      </w:r>
      <w:r>
        <w:t xml:space="preserve">ссией о разрешении открыть специальный избирательный счет и на основании Заявления, указанного в пункте 2 Порядка, соответствующая избирательная комиссия направляет </w:t>
        <w:br/>
        <w:t xml:space="preserve">в ПАО Сбербанк через автоматизированную систему дистанционного банковского обслуживания «</w:t>
      </w:r>
      <w:r>
        <w:t xml:space="preserve">Сб</w:t>
      </w:r>
      <w:r>
        <w:t xml:space="preserve">ерКазначейство</w:t>
      </w:r>
      <w:r>
        <w:t xml:space="preserve">» (далее – система </w:t>
      </w:r>
      <w:r>
        <w:t xml:space="preserve">СберКазначейство</w:t>
      </w:r>
      <w:r>
        <w:t xml:space="preserve">) следующую информацию:</w:t>
      </w:r>
      <w:r/>
    </w:p>
    <w:p>
      <w:r>
        <w:t xml:space="preserve">а)</w:t>
      </w:r>
      <w:r>
        <w:t xml:space="preserve"> </w:t>
      </w:r>
      <w:r>
        <w:t xml:space="preserve">фамилию, имя, отчество кандидата;</w:t>
      </w:r>
      <w:r/>
    </w:p>
    <w:p>
      <w:r>
        <w:t xml:space="preserve">б)</w:t>
      </w:r>
      <w:r>
        <w:t xml:space="preserve"> </w:t>
      </w:r>
      <w:r>
        <w:t xml:space="preserve">число, месяц и год рождения кандидата;</w:t>
      </w:r>
      <w:r/>
    </w:p>
    <w:p>
      <w:r>
        <w:t xml:space="preserve">в)</w:t>
      </w:r>
      <w:r>
        <w:t xml:space="preserve"> </w:t>
      </w:r>
      <w:r>
        <w:t xml:space="preserve">серию и номер паспорта гражданина Российской Федерации кандидата;</w:t>
      </w:r>
      <w:r/>
    </w:p>
    <w:p>
      <w:r>
        <w:t xml:space="preserve">г)</w:t>
      </w:r>
      <w:r>
        <w:t xml:space="preserve"> </w:t>
      </w:r>
      <w:r>
        <w:t xml:space="preserve">номер и дату документа избирател</w:t>
      </w:r>
      <w:r>
        <w:t xml:space="preserve">ьной комиссии, содержащего разрешение открыть специальный избирательный счет;</w:t>
      </w:r>
      <w:r/>
    </w:p>
    <w:p>
      <w:r>
        <w:t xml:space="preserve">д</w:t>
      </w:r>
      <w:r>
        <w:t xml:space="preserve">)</w:t>
      </w:r>
      <w:r>
        <w:t xml:space="preserve"> </w:t>
      </w:r>
      <w:r>
        <w:t xml:space="preserve">наименование избирательной кампании;</w:t>
      </w:r>
      <w:r/>
    </w:p>
    <w:p>
      <w:r>
        <w:t xml:space="preserve">е)</w:t>
      </w:r>
      <w:r>
        <w:t xml:space="preserve"> </w:t>
      </w:r>
      <w:r>
        <w:t xml:space="preserve">наименование и/или номер избирательного округа (при наличии);</w:t>
      </w:r>
      <w:r/>
    </w:p>
    <w:p>
      <w:r>
        <w:t xml:space="preserve">ж)</w:t>
      </w:r>
      <w:r>
        <w:t xml:space="preserve"> </w:t>
      </w:r>
      <w:r>
        <w:t xml:space="preserve">дату и местное время окончания периода представления документов, необх</w:t>
      </w:r>
      <w:r>
        <w:t xml:space="preserve">одимых для регистрации кандидатов на выборах </w:t>
        <w:br/>
        <w:t xml:space="preserve">в соответствии </w:t>
      </w:r>
      <w:r>
        <w:t xml:space="preserve">с законом;</w:t>
      </w:r>
      <w:r/>
    </w:p>
    <w:p>
      <w:r>
        <w:t xml:space="preserve">з</w:t>
      </w:r>
      <w:r>
        <w:t xml:space="preserve">)</w:t>
      </w:r>
      <w:r>
        <w:t xml:space="preserve"> </w:t>
      </w:r>
      <w:r>
        <w:t xml:space="preserve">реквизиты филиала ПАО Сбербанк, указанные в документе избирательной комиссии, содержащем разрешение открыть специальный избирательный счет.</w:t>
      </w:r>
      <w:r/>
    </w:p>
    <w:p>
      <w:r>
        <w:t xml:space="preserve">7.</w:t>
      </w:r>
      <w:r>
        <w:t xml:space="preserve"> </w:t>
      </w:r>
      <w:r>
        <w:t xml:space="preserve">При успешном прохождении процедуры аут</w:t>
      </w:r>
      <w:r>
        <w:t xml:space="preserve">ентификации клиента ПАО Сбербанк, осуществляемой в режиме реального времени, </w:t>
        <w:br/>
        <w:t xml:space="preserve">ПАО Сбербанк направляет кандидату </w:t>
      </w:r>
      <w:r>
        <w:t xml:space="preserve">СМС-уведомление</w:t>
      </w:r>
      <w:r>
        <w:t xml:space="preserve"> на номер мобильного телефона, привязанный к действующей учетной записи клиента ПАО Сбербанк </w:t>
      </w:r>
      <w:r>
        <w:t xml:space="preserve">в системе </w:t>
      </w:r>
      <w:r>
        <w:t xml:space="preserve">СберБанк</w:t>
      </w:r>
      <w:r>
        <w:t xml:space="preserve"> </w:t>
      </w:r>
      <w:r>
        <w:t xml:space="preserve">Онлайн</w:t>
      </w:r>
      <w:r>
        <w:t xml:space="preserve">, о возможн</w:t>
      </w:r>
      <w:r>
        <w:t xml:space="preserve">ости дистанционного открытия счета (с направлением активной ссылки для его открытия).</w:t>
      </w:r>
      <w:r/>
    </w:p>
    <w:p>
      <w:r>
        <w:t xml:space="preserve">8.</w:t>
      </w:r>
      <w:r>
        <w:t xml:space="preserve"> </w:t>
      </w:r>
      <w:r>
        <w:t xml:space="preserve">После перехода по ссылке кандидат авторизуется в мобильном приложении системы </w:t>
      </w:r>
      <w:r>
        <w:t xml:space="preserve">СберБанк</w:t>
      </w:r>
      <w:r>
        <w:t xml:space="preserve"> </w:t>
      </w:r>
      <w:r>
        <w:t xml:space="preserve">Онлайн</w:t>
      </w:r>
      <w:r>
        <w:t xml:space="preserve">. Далее, последовательно заполняя необходимую информацию в открывающихся д</w:t>
      </w:r>
      <w:r>
        <w:t xml:space="preserve">и</w:t>
      </w:r>
      <w:r>
        <w:t xml:space="preserve">алоговых окнах, подписывает заявление о присоединении к Условиям открытия </w:t>
        <w:br/>
        <w:t xml:space="preserve">и обслуживания специального избирательного счета кандидата и Условиям предоставления услуг с использованием системы дистанционного банковского обслуживания ПАО Сбербанк «Сбербанк Би</w:t>
      </w:r>
      <w:r>
        <w:t xml:space="preserve">знес </w:t>
      </w:r>
      <w:r>
        <w:t xml:space="preserve">Онлайн</w:t>
      </w:r>
      <w:r>
        <w:t xml:space="preserve">»</w:t>
        <w:br/>
        <w:t xml:space="preserve">(</w:t>
      </w:r>
      <w:r>
        <w:t xml:space="preserve">далее – заявление </w:t>
      </w:r>
      <w:r>
        <w:t xml:space="preserve">о присоединении)</w:t>
      </w:r>
      <w:r>
        <w:rPr>
          <w:rStyle w:val="971"/>
        </w:rPr>
        <w:footnoteReference w:id="3"/>
      </w:r>
      <w:r>
        <w:t xml:space="preserve">.</w:t>
      </w:r>
      <w:r/>
    </w:p>
    <w:p>
      <w:r>
        <w:t xml:space="preserve">После подписания кандидатом заявления о присоединении специальный избирательный счет открывается ПАО Сбербанк незамедлительно.</w:t>
      </w:r>
      <w:r/>
    </w:p>
    <w:p>
      <w:r>
        <w:t xml:space="preserve">9.</w:t>
      </w:r>
      <w:r>
        <w:t xml:space="preserve"> </w:t>
      </w:r>
      <w:r>
        <w:t xml:space="preserve">После открытия ПАО Сбербанк специального избирательного </w:t>
      </w:r>
      <w:r>
        <w:br/>
      </w:r>
      <w:r>
        <w:t xml:space="preserve">счета на адрес электронной почты, указанный кандидатом в заявлении </w:t>
      </w:r>
      <w:r>
        <w:br/>
        <w:t xml:space="preserve">о присоединении, направляется логин, а на номер мобильного телефона кандидата в </w:t>
      </w:r>
      <w:r>
        <w:t xml:space="preserve">СМС-уведомлении</w:t>
      </w:r>
      <w:r>
        <w:t xml:space="preserve"> – пароль для доступа к личному кабинету системы дистанционного банковского обслуживания ПАО </w:t>
      </w:r>
      <w:r>
        <w:t xml:space="preserve">Сбербанк «Сбербанк Бизнес </w:t>
      </w:r>
      <w:r>
        <w:t xml:space="preserve">Онлайн</w:t>
      </w:r>
      <w:r>
        <w:t xml:space="preserve">».</w:t>
      </w:r>
      <w:r/>
    </w:p>
    <w:p>
      <w:r>
        <w:t xml:space="preserve">10.</w:t>
      </w:r>
      <w:r>
        <w:t xml:space="preserve"> </w:t>
      </w:r>
      <w:r>
        <w:t xml:space="preserve">В случаях и порядке, предусмотренных законодательством Российской Федерации, в соответствующую избирательную комиссию представляется документ, подтверждающий открытие специального </w:t>
      </w:r>
      <w:r>
        <w:t xml:space="preserve">избирательного счета, содержащий его </w:t>
      </w:r>
      <w:r>
        <w:t xml:space="preserve">реквизиты, по форме, установленной соответствующей избирательной комиссией. Примерная форма уведомления об открытии специального избирательного счета и о его реквизитах приведена в приложении №</w:t>
      </w:r>
      <w:r>
        <w:t xml:space="preserve"> </w:t>
      </w:r>
      <w:r>
        <w:t xml:space="preserve">2 к Порядку.</w:t>
      </w:r>
      <w:r/>
    </w:p>
    <w:p>
      <w:r>
        <w:t xml:space="preserve">11.</w:t>
      </w:r>
      <w:r>
        <w:t xml:space="preserve"> </w:t>
      </w:r>
      <w:r>
        <w:t xml:space="preserve">При дистанционном открытии счета ведение и за</w:t>
      </w:r>
      <w:r>
        <w:t xml:space="preserve">крытие специального избирательного счета осуществляется в соответствии </w:t>
      </w:r>
      <w:r>
        <w:br/>
        <w:t xml:space="preserve">с Порядком открытия, ведения и закрытия специальных избирательных счетов для формирования избирательных фондов политических партий, региональных отделений политических партий, кандидат</w:t>
      </w:r>
      <w:r>
        <w:t xml:space="preserve">ов при проведении выборов депутатов Государственной Думы Федерального Собрания Российской Федерации, установленным Центральной избирательной комиссией Российской Федерации по согласованию с Центральным банком Российской Федерации, порядком открытия, ведени</w:t>
      </w:r>
      <w:r>
        <w:t xml:space="preserve">я и</w:t>
      </w:r>
      <w:r>
        <w:t xml:space="preserve"> </w:t>
      </w:r>
      <w:r>
        <w:t xml:space="preserve">закрытия специальных избирательных счетов, установленным соответствующей избирательной комиссией субъекта Российской Федерации по согласованию </w:t>
      </w:r>
      <w:r>
        <w:br/>
        <w:t xml:space="preserve">с территориальным учреждением Центрального банка Российской Федерации в соответствующем субъекте Российской </w:t>
      </w:r>
      <w:r>
        <w:t xml:space="preserve">Федерации, </w:t>
        <w:br/>
        <w:t xml:space="preserve">на основании пункта 12 статьи 58 Федерального закона.</w:t>
      </w:r>
      <w:r/>
    </w:p>
    <w:p>
      <w:r/>
      <w:r/>
    </w:p>
    <w:p>
      <w:pPr>
        <w:sectPr>
          <w:headerReference w:type="default" r:id="rId10"/>
          <w:headerReference w:type="first" r:id="rId11"/>
          <w:footnotePr/>
          <w:endnotePr/>
          <w:type w:val="nextPage"/>
          <w:pgSz w:w="11906" w:h="16838" w:orient="portrait"/>
          <w:pgMar w:top="1134" w:right="850" w:bottom="1134" w:left="1701" w:header="709" w:footer="709" w:gutter="0"/>
          <w:pgNumType w:start="1"/>
          <w:cols w:num="1" w:sep="0" w:space="708" w:equalWidth="1"/>
          <w:docGrid w:linePitch="360"/>
          <w:titlePg/>
        </w:sectPr>
      </w:pPr>
      <w:r/>
      <w:r/>
    </w:p>
    <w:tbl>
      <w:tblPr>
        <w:tblStyle w:val="989"/>
        <w:tblW w:w="9571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2935"/>
        <w:gridCol w:w="575"/>
        <w:gridCol w:w="6061"/>
      </w:tblGrid>
      <w:tr>
        <w:tblPrEx/>
        <w:trPr/>
        <w:tc>
          <w:tcPr>
            <w:gridSpan w:val="2"/>
            <w:tcW w:w="3510" w:type="dxa"/>
            <w:textDirection w:val="lrTb"/>
            <w:noWrap w:val="false"/>
          </w:tcPr>
          <w:p>
            <w:pPr>
              <w:ind w:firstLine="0"/>
              <w:jc w:val="right"/>
              <w:spacing w:line="240" w:lineRule="auto"/>
              <w:rPr>
                <w:rFonts w:ascii="PT Astra Serif" w:hAnsi="PT Astra Serif" w:cs="PT Astra Serif"/>
                <w:i/>
              </w:rPr>
            </w:pPr>
            <w:r>
              <w:rPr>
                <w:rFonts w:ascii="PT Astra Serif" w:hAnsi="PT Astra Serif" w:eastAsia="PT Astra Serif" w:cs="PT Astra Serif"/>
                <w:i/>
              </w:rPr>
            </w:r>
            <w:r>
              <w:rPr>
                <w:rFonts w:ascii="PT Astra Serif" w:hAnsi="PT Astra Serif" w:cs="PT Astra Serif"/>
                <w:i/>
              </w:rPr>
            </w:r>
            <w:r>
              <w:rPr>
                <w:rFonts w:ascii="PT Astra Serif" w:hAnsi="PT Astra Serif" w:cs="PT Astra Serif"/>
                <w:i/>
              </w:rPr>
            </w:r>
          </w:p>
        </w:tc>
        <w:tc>
          <w:tcPr>
            <w:tcW w:w="6061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Приложение № 1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к Порядку открытия, ведения и закрытия</w:t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 специальных избирательных счетов для формирования избирательных фондов кандидатов без личного присутствия (дистанционно) при проведении выборов в органы государственной власти, в органы местного самоуправления 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</w:tr>
      <w:tr>
        <w:tblPrEx/>
        <w:trPr/>
        <w:tc>
          <w:tcPr>
            <w:tcW w:w="2935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gridSpan w:val="2"/>
            <w:tcW w:w="6636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eastAsia="PT Astra Serif" w:cs="PT Astra Serif"/>
                <w:sz w:val="16"/>
                <w:szCs w:val="16"/>
              </w:rPr>
            </w:r>
            <w:r>
              <w:rPr>
                <w:rFonts w:ascii="PT Astra Serif" w:hAnsi="PT Astra Serif" w:cs="PT Astra Serif"/>
                <w:sz w:val="16"/>
                <w:szCs w:val="16"/>
              </w:rPr>
            </w:r>
            <w:r>
              <w:rPr>
                <w:rFonts w:ascii="PT Astra Serif" w:hAnsi="PT Astra Serif" w:cs="PT Astra Serif"/>
                <w:sz w:val="16"/>
                <w:szCs w:val="16"/>
              </w:rPr>
            </w:r>
          </w:p>
        </w:tc>
      </w:tr>
      <w:tr>
        <w:tblPrEx/>
        <w:trPr/>
        <w:tc>
          <w:tcPr>
            <w:tcW w:w="2935" w:type="dxa"/>
            <w:textDirection w:val="lrTb"/>
            <w:noWrap w:val="false"/>
          </w:tcPr>
          <w:p>
            <w:pPr>
              <w:ind w:firstLine="0"/>
              <w:spacing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636" w:type="dxa"/>
            <w:textDirection w:val="lrTb"/>
            <w:noWrap w:val="false"/>
          </w:tcPr>
          <w:p>
            <w:pPr>
              <w:ind w:firstLine="0"/>
              <w:spacing w:line="240" w:lineRule="auto"/>
              <w:widowControl w:val="off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В ___________________________________________________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widowControl w:val="off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(полное наименование избирательной комиссии)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/>
        <w:tc>
          <w:tcPr>
            <w:tcW w:w="2935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636" w:type="dxa"/>
            <w:textDirection w:val="lrTb"/>
            <w:noWrap w:val="false"/>
          </w:tcPr>
          <w:p>
            <w:pPr>
              <w:ind w:firstLine="0"/>
              <w:spacing w:line="240" w:lineRule="auto"/>
              <w:widowControl w:val="off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От __________________________________________________,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widowControl w:val="off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(фамилия, имя, отчество кандидата)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/>
        <w:tc>
          <w:tcPr>
            <w:tcW w:w="2935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636" w:type="dxa"/>
            <w:textDirection w:val="lrTb"/>
            <w:noWrap w:val="false"/>
          </w:tcPr>
          <w:p>
            <w:pPr>
              <w:ind w:firstLine="0"/>
              <w:spacing w:line="240" w:lineRule="auto"/>
              <w:widowControl w:val="off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зарегистрированного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по адресу: _________________________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widowControl w:val="off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     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                                                                   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(адрес места регистрации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widowControl w:val="off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_____________________________________________________,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widowControl w:val="off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                                     указывается с почтовым индексом)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/>
        <w:tc>
          <w:tcPr>
            <w:tcW w:w="2935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636" w:type="dxa"/>
            <w:textDirection w:val="lrTb"/>
            <w:noWrap w:val="false"/>
          </w:tcPr>
          <w:p>
            <w:pPr>
              <w:ind w:firstLine="0"/>
              <w:spacing w:line="240" w:lineRule="auto"/>
              <w:widowControl w:val="off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паспорт серия________________ №_____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_________________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tcW w:w="2935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636" w:type="dxa"/>
            <w:textDirection w:val="lrTb"/>
            <w:noWrap w:val="false"/>
          </w:tcPr>
          <w:p>
            <w:pPr>
              <w:ind w:firstLine="0"/>
              <w:spacing w:line="240" w:lineRule="auto"/>
              <w:widowControl w:val="off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выдан _______________________________________________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widowControl w:val="off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sz w:val="18"/>
                <w:szCs w:val="18"/>
              </w:rPr>
              <w:t xml:space="preserve">                            (дата выдачи и наименование органа, выдавшего документ)</w:t>
            </w:r>
            <w:r>
              <w:rPr>
                <w:rFonts w:ascii="PT Astra Serif" w:hAnsi="PT Astra Serif" w:cs="PT Astra Serif"/>
                <w:sz w:val="18"/>
                <w:szCs w:val="18"/>
              </w:rPr>
            </w:r>
            <w:r>
              <w:rPr>
                <w:rFonts w:ascii="PT Astra Serif" w:hAnsi="PT Astra Serif" w:cs="PT Astra Serif"/>
                <w:sz w:val="18"/>
                <w:szCs w:val="18"/>
              </w:rPr>
            </w:r>
          </w:p>
        </w:tc>
      </w:tr>
      <w:tr>
        <w:tblPrEx/>
        <w:trPr/>
        <w:tc>
          <w:tcPr>
            <w:tcW w:w="2935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636" w:type="dxa"/>
            <w:textDirection w:val="lrTb"/>
            <w:noWrap w:val="false"/>
          </w:tcPr>
          <w:p>
            <w:pPr>
              <w:ind w:firstLine="0"/>
              <w:spacing w:line="240" w:lineRule="auto"/>
              <w:widowControl w:val="off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телефон: ____________________________________________,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272"/>
        </w:trPr>
        <w:tc>
          <w:tcPr>
            <w:tcW w:w="2935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636" w:type="dxa"/>
            <w:textDirection w:val="lrTb"/>
            <w:noWrap w:val="false"/>
          </w:tcPr>
          <w:p>
            <w:pPr>
              <w:ind w:firstLine="0"/>
              <w:spacing w:line="240" w:lineRule="auto"/>
              <w:widowControl w:val="off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адрес электронной почты: ______________________________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</w:tbl>
    <w:p>
      <w:pPr>
        <w:ind w:firstLine="720"/>
        <w:jc w:val="center"/>
        <w:spacing w:line="240" w:lineRule="auto"/>
        <w:widowControl w:val="off"/>
        <w:rPr>
          <w:rFonts w:ascii="Times New Roman" w:hAnsi="Times New Roman" w:cs="Times New Roman"/>
          <w:sz w:val="12"/>
          <w:szCs w:val="12"/>
          <w:lang w:eastAsia="ru-RU"/>
        </w:rPr>
      </w:pPr>
      <w:r>
        <w:rPr>
          <w:rFonts w:ascii="Times New Roman" w:hAnsi="Times New Roman" w:cs="Times New Roman"/>
          <w:sz w:val="12"/>
          <w:szCs w:val="12"/>
          <w:lang w:eastAsia="ru-RU"/>
        </w:rPr>
      </w:r>
      <w:r>
        <w:rPr>
          <w:rFonts w:ascii="Times New Roman" w:hAnsi="Times New Roman" w:cs="Times New Roman"/>
          <w:sz w:val="12"/>
          <w:szCs w:val="12"/>
          <w:lang w:eastAsia="ru-RU"/>
        </w:rPr>
      </w:r>
      <w:r>
        <w:rPr>
          <w:rFonts w:ascii="Times New Roman" w:hAnsi="Times New Roman" w:cs="Times New Roman"/>
          <w:sz w:val="12"/>
          <w:szCs w:val="12"/>
          <w:lang w:eastAsia="ru-RU"/>
        </w:rPr>
      </w:r>
    </w:p>
    <w:p>
      <w:pPr>
        <w:ind w:firstLine="0"/>
        <w:jc w:val="center"/>
        <w:spacing w:line="235" w:lineRule="auto"/>
        <w:widowControl w:val="off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  <w:lang w:eastAsia="ru-RU"/>
        </w:rPr>
        <w:t xml:space="preserve">Заявление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20"/>
        <w:jc w:val="center"/>
        <w:spacing w:line="235" w:lineRule="auto"/>
        <w:widowControl w:val="off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  <w:shd w:val="clear" w:color="auto" w:fill="ffffff"/>
          <w:lang w:eastAsia="ru-RU"/>
        </w:rPr>
        <w:t xml:space="preserve">о намерении открыть специальный избирательный счет без личного присутствия (дистанционно) и согласии </w:t>
      </w:r>
      <w:r>
        <w:rPr>
          <w:rFonts w:ascii="PT Astra Serif" w:hAnsi="PT Astra Serif" w:eastAsia="PT Astra Serif" w:cs="PT Astra Serif"/>
          <w:b/>
          <w:sz w:val="24"/>
          <w:szCs w:val="24"/>
          <w:lang w:eastAsia="ru-RU"/>
        </w:rPr>
        <w:t xml:space="preserve">на передачу персональных данных 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20"/>
        <w:jc w:val="center"/>
        <w:spacing w:line="235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  <w:lang w:eastAsia="ru-RU"/>
        </w:rPr>
        <w:t xml:space="preserve">публичному акционерному обществу «Сбербанк России»</w:t>
      </w:r>
      <w:r>
        <w:rPr>
          <w:rFonts w:ascii="PT Astra Serif" w:hAnsi="PT Astra Serif" w:eastAsia="PT Astra Serif" w:cs="PT Astra Serif"/>
          <w:b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539"/>
        <w:spacing w:before="12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Я, ______________________________________________________________________,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540"/>
        <w:jc w:val="center"/>
        <w:spacing w:line="240" w:lineRule="auto"/>
        <w:widowControl w:val="off"/>
        <w:rPr>
          <w:rFonts w:ascii="PT Astra Serif" w:hAnsi="PT Astra Serif" w:cs="PT Astra Serif"/>
          <w:sz w:val="18"/>
          <w:szCs w:val="18"/>
        </w:rPr>
      </w:pPr>
      <w:r>
        <w:rPr>
          <w:rFonts w:ascii="PT Astra Serif" w:hAnsi="PT Astra Serif" w:eastAsia="PT Astra Serif" w:cs="PT Astra Serif"/>
          <w:sz w:val="18"/>
          <w:szCs w:val="18"/>
          <w:lang w:eastAsia="ru-RU"/>
        </w:rPr>
        <w:t xml:space="preserve">(фамилия, имя, отчество кандидата)</w:t>
      </w:r>
      <w:r>
        <w:rPr>
          <w:rFonts w:ascii="PT Astra Serif" w:hAnsi="PT Astra Serif" w:cs="PT Astra Serif"/>
          <w:sz w:val="18"/>
          <w:szCs w:val="18"/>
        </w:rPr>
      </w:r>
      <w:r>
        <w:rPr>
          <w:rFonts w:ascii="PT Astra Serif" w:hAnsi="PT Astra Serif" w:cs="PT Astra Serif"/>
          <w:sz w:val="18"/>
          <w:szCs w:val="18"/>
        </w:rPr>
      </w:r>
    </w:p>
    <w:p>
      <w:pPr>
        <w:spacing w:before="12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сообщаю о намерении открыть специальный избирательный счет для формирования своего избирательного фонда без личного присутствия (дистанционно) в 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филиале ПАО Сбербанк  и даю согласие___________________________________________________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line="240" w:lineRule="auto"/>
        <w:widowControl w:val="off"/>
        <w:rPr>
          <w:rFonts w:ascii="PT Astra Serif" w:hAnsi="PT Astra Serif" w:cs="PT Astra Serif"/>
          <w:sz w:val="18"/>
          <w:szCs w:val="18"/>
        </w:rPr>
      </w:pPr>
      <w:r>
        <w:rPr>
          <w:rFonts w:ascii="PT Astra Serif" w:hAnsi="PT Astra Serif" w:eastAsia="PT Astra Serif" w:cs="PT Astra Serif"/>
          <w:sz w:val="18"/>
          <w:szCs w:val="18"/>
          <w:lang w:eastAsia="ru-RU"/>
        </w:rPr>
        <w:t xml:space="preserve">                                                                                                       (наименование избирательной комиссии)</w:t>
      </w:r>
      <w:r>
        <w:rPr>
          <w:rFonts w:ascii="PT Astra Serif" w:hAnsi="PT Astra Serif" w:cs="PT Astra Serif"/>
          <w:sz w:val="18"/>
          <w:szCs w:val="18"/>
        </w:rPr>
      </w:r>
      <w:r>
        <w:rPr>
          <w:rFonts w:ascii="PT Astra Serif" w:hAnsi="PT Astra Serif" w:cs="PT Astra Serif"/>
          <w:sz w:val="18"/>
          <w:szCs w:val="18"/>
        </w:rPr>
      </w:r>
    </w:p>
    <w:p>
      <w:pPr>
        <w:spacing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на передачу моих персональных данных, содержащихся в заявлении о согласии баллотироваться: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фамилия, имя, отчество;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shd w:val="clear" w:color="auto" w:fill="ffffff"/>
          <w:lang w:eastAsia="ru-RU"/>
        </w:rPr>
        <w:t xml:space="preserve">число, месяц и год рождения;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line="240" w:lineRule="auto"/>
        <w:widowControl w:val="off"/>
        <w:rPr>
          <w:rFonts w:ascii="PT Astra Serif" w:hAnsi="PT Astra Serif" w:cs="PT Astra Serif"/>
          <w:sz w:val="24"/>
          <w:szCs w:val="24"/>
          <w:shd w:val="clear" w:color="auto" w:fill="ffffff"/>
        </w:rPr>
      </w:pPr>
      <w:r>
        <w:rPr>
          <w:rFonts w:ascii="PT Astra Serif" w:hAnsi="PT Astra Serif" w:eastAsia="PT Astra Serif" w:cs="PT Astra Serif"/>
          <w:sz w:val="24"/>
          <w:szCs w:val="24"/>
          <w:shd w:val="clear" w:color="auto" w:fill="ffffff"/>
          <w:lang w:eastAsia="ru-RU"/>
        </w:rPr>
        <w:t xml:space="preserve">серия и номер паспорта гражданина Российской Федерации</w:t>
      </w:r>
      <w:r>
        <w:rPr>
          <w:rFonts w:ascii="PT Astra Serif" w:hAnsi="PT Astra Serif" w:cs="PT Astra Serif"/>
          <w:sz w:val="24"/>
          <w:szCs w:val="24"/>
          <w:shd w:val="clear" w:color="auto" w:fill="ffffff"/>
        </w:rPr>
      </w:r>
      <w:r>
        <w:rPr>
          <w:rFonts w:ascii="PT Astra Serif" w:hAnsi="PT Astra Serif" w:cs="PT Astra Serif"/>
          <w:sz w:val="24"/>
          <w:szCs w:val="24"/>
          <w:shd w:val="clear" w:color="auto" w:fill="ffffff"/>
        </w:rPr>
      </w:r>
    </w:p>
    <w:p>
      <w:pPr>
        <w:spacing w:before="8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shd w:val="clear" w:color="auto" w:fill="ffffff"/>
          <w:lang w:eastAsia="ru-RU"/>
        </w:rPr>
        <w:t xml:space="preserve">для целей открытия специального избирательного счета без</w:t>
      </w:r>
      <w:r>
        <w:rPr>
          <w:rFonts w:ascii="PT Astra Serif" w:hAnsi="PT Astra Serif" w:eastAsia="PT Astra Serif" w:cs="PT Astra Serif"/>
          <w:sz w:val="24"/>
          <w:szCs w:val="24"/>
          <w:shd w:val="clear" w:color="auto" w:fill="ffffff"/>
          <w:lang w:eastAsia="ru-RU"/>
        </w:rPr>
        <w:t xml:space="preserve"> моего присутствия (дистанционно) в филиале ПАО Сбербанк, а также на получение </w:t>
      </w:r>
      <w:r>
        <w:rPr>
          <w:rFonts w:ascii="PT Astra Serif" w:hAnsi="PT Astra Serif" w:eastAsia="PT Astra Serif" w:cs="PT Astra Serif"/>
          <w:sz w:val="24"/>
          <w:szCs w:val="24"/>
          <w:shd w:val="clear" w:color="auto" w:fill="ffffff"/>
          <w:lang w:eastAsia="ru-RU"/>
        </w:rPr>
        <w:t xml:space="preserve">СМС</w:t>
      </w:r>
      <w:r>
        <w:rPr>
          <w:rFonts w:ascii="PT Astra Serif" w:hAnsi="PT Astra Serif" w:eastAsia="PT Astra Serif" w:cs="PT Astra Serif"/>
          <w:sz w:val="24"/>
          <w:szCs w:val="24"/>
          <w:shd w:val="clear" w:color="auto" w:fill="ffffff"/>
          <w:lang w:eastAsia="ru-RU"/>
        </w:rPr>
        <w:noBreakHyphen/>
        <w:t xml:space="preserve">уведомлений</w:t>
      </w:r>
      <w:r>
        <w:rPr>
          <w:rFonts w:ascii="PT Astra Serif" w:hAnsi="PT Astra Serif" w:eastAsia="PT Astra Serif" w:cs="PT Astra Serif"/>
          <w:sz w:val="24"/>
          <w:szCs w:val="24"/>
          <w:shd w:val="clear" w:color="auto" w:fill="ffffff"/>
          <w:lang w:eastAsia="ru-RU"/>
        </w:rPr>
        <w:t xml:space="preserve">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line="240" w:lineRule="auto"/>
        <w:widowControl w:val="off"/>
        <w:rPr>
          <w:rFonts w:ascii="PT Astra Serif" w:hAnsi="PT Astra Serif" w:cs="PT Astra Serif"/>
          <w:sz w:val="18"/>
          <w:szCs w:val="18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_____________________________________________________________________________ </w:t>
      </w:r>
      <w:r>
        <w:rPr>
          <w:rFonts w:ascii="PT Astra Serif" w:hAnsi="PT Astra Serif" w:eastAsia="PT Astra Serif" w:cs="PT Astra Serif"/>
          <w:sz w:val="18"/>
          <w:szCs w:val="18"/>
          <w:lang w:eastAsia="ru-RU"/>
        </w:rPr>
        <w:t xml:space="preserve">(наименование избирательной комиссии)</w:t>
      </w:r>
      <w:r>
        <w:rPr>
          <w:rFonts w:ascii="PT Astra Serif" w:hAnsi="PT Astra Serif" w:cs="PT Astra Serif"/>
          <w:sz w:val="18"/>
          <w:szCs w:val="18"/>
        </w:rPr>
      </w:r>
      <w:r>
        <w:rPr>
          <w:rFonts w:ascii="PT Astra Serif" w:hAnsi="PT Astra Serif" w:cs="PT Astra Serif"/>
          <w:sz w:val="18"/>
          <w:szCs w:val="18"/>
        </w:rPr>
      </w:r>
    </w:p>
    <w:p>
      <w:pPr>
        <w:spacing w:line="277" w:lineRule="atLeast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имеет право на передачу моих персональных да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нных публичному акционерному обществу «Сбербанк России», в том числе с использованием машинных носителей информации, по каналам связи и (или) в виде бумажных документов с соблюдением мер, обеспечивающих их защиту от несанкционированного доступа.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before="80" w:line="277" w:lineRule="atLeast"/>
        <w:widowControl w:val="off"/>
        <w:rPr>
          <w:rFonts w:ascii="PT Astra Serif" w:hAnsi="PT Astra Serif" w:cs="PT Astra Serif"/>
          <w:sz w:val="18"/>
          <w:szCs w:val="18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Соглашаюсь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 с передачей персональных данных добровольно до______20__года</w:t>
      </w:r>
      <w:r>
        <w:rPr>
          <w:rFonts w:ascii="PT Astra Serif" w:hAnsi="PT Astra Serif" w:eastAsia="PT Astra Serif" w:cs="PT Astra Serif"/>
          <w:sz w:val="24"/>
          <w:vertAlign w:val="superscript"/>
          <w:lang w:eastAsia="ru-RU"/>
        </w:rPr>
        <w:footnoteReference w:id="4"/>
      </w:r>
      <w:r>
        <w:rPr>
          <w:rFonts w:ascii="PT Astra Serif" w:hAnsi="PT Astra Serif" w:eastAsia="PT Astra Serif" w:cs="PT Astra Serif"/>
          <w:sz w:val="24"/>
          <w:vertAlign w:val="superscript"/>
          <w:lang w:eastAsia="ru-RU"/>
        </w:rPr>
        <w:t xml:space="preserve">*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.</w:t>
      </w:r>
      <w:r>
        <w:rPr>
          <w:rFonts w:ascii="PT Astra Serif" w:hAnsi="PT Astra Serif" w:cs="PT Astra Serif"/>
          <w:sz w:val="18"/>
          <w:szCs w:val="18"/>
        </w:rPr>
      </w:r>
      <w:r>
        <w:rPr>
          <w:rFonts w:ascii="PT Astra Serif" w:hAnsi="PT Astra Serif" w:cs="PT Astra Serif"/>
          <w:sz w:val="18"/>
          <w:szCs w:val="18"/>
        </w:rPr>
      </w:r>
    </w:p>
    <w:p>
      <w:pPr>
        <w:spacing w:before="120" w:line="238" w:lineRule="atLeast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С Порядком открытия, ведения и закрытия специальных избирательных счетов для формирования избирательных фондов кандидатов без личного присутствия (дистанционно) при проведении выборов </w:t>
      </w:r>
      <w:r>
        <w:rPr>
          <w:rFonts w:ascii="PT Astra Serif" w:hAnsi="PT Astra Serif" w:eastAsia="PT Astra Serif" w:cs="PT Astra Serif"/>
          <w:bCs/>
          <w:sz w:val="24"/>
          <w:szCs w:val="24"/>
        </w:rPr>
        <w:t xml:space="preserve">в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орган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ы государственной власти, в органы местного самоуправления 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ознакомлен и согласен.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20"/>
        <w:spacing w:line="240" w:lineRule="auto"/>
        <w:widowControl w:val="off"/>
        <w:rPr>
          <w:rFonts w:ascii="PT Astra Serif" w:hAnsi="PT Astra Serif" w:cs="PT Astra Serif"/>
          <w:sz w:val="10"/>
          <w:szCs w:val="10"/>
        </w:rPr>
      </w:pPr>
      <w:r>
        <w:rPr>
          <w:rFonts w:ascii="PT Astra Serif" w:hAnsi="PT Astra Serif" w:eastAsia="PT Astra Serif" w:cs="PT Astra Serif"/>
          <w:sz w:val="8"/>
          <w:szCs w:val="8"/>
          <w:lang w:eastAsia="ru-RU"/>
        </w:rPr>
      </w:r>
      <w:r>
        <w:rPr>
          <w:rFonts w:ascii="PT Astra Serif" w:hAnsi="PT Astra Serif" w:cs="PT Astra Serif"/>
          <w:sz w:val="10"/>
          <w:szCs w:val="10"/>
        </w:rPr>
      </w:r>
      <w:r>
        <w:rPr>
          <w:rFonts w:ascii="PT Astra Serif" w:hAnsi="PT Astra Serif" w:cs="PT Astra Serif"/>
          <w:sz w:val="10"/>
          <w:szCs w:val="10"/>
        </w:rPr>
      </w:r>
    </w:p>
    <w:p>
      <w:pPr>
        <w:ind w:firstLine="540"/>
        <w:spacing w:line="240" w:lineRule="auto"/>
        <w:widowControl w:val="off"/>
        <w:rPr>
          <w:rFonts w:ascii="PT Astra Serif" w:hAnsi="PT Astra Serif" w:cs="PT Astra Serif"/>
          <w:sz w:val="16"/>
          <w:szCs w:val="16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                                           ________________________   /_________________________/</w:t>
      </w:r>
      <w:r>
        <w:rPr>
          <w:rFonts w:ascii="PT Astra Serif" w:hAnsi="PT Astra Serif" w:cs="PT Astra Serif"/>
          <w:sz w:val="16"/>
          <w:szCs w:val="16"/>
        </w:rPr>
      </w:r>
      <w:r>
        <w:rPr>
          <w:rFonts w:ascii="PT Astra Serif" w:hAnsi="PT Astra Serif" w:cs="PT Astra Serif"/>
          <w:sz w:val="16"/>
          <w:szCs w:val="16"/>
        </w:rPr>
      </w:r>
    </w:p>
    <w:p>
      <w:pPr>
        <w:ind w:firstLine="540"/>
        <w:spacing w:line="240" w:lineRule="auto"/>
        <w:widowControl w:val="off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PT Astra Serif" w:hAnsi="PT Astra Serif" w:eastAsia="PT Astra Serif" w:cs="PT Astra Serif"/>
          <w:sz w:val="18"/>
          <w:szCs w:val="18"/>
          <w:lang w:eastAsia="ru-RU"/>
        </w:rPr>
        <w:t xml:space="preserve">                                                                        (подпись)                                            (инициалы, фамилия кандидата)</w:t>
      </w:r>
      <w:r>
        <w:rPr>
          <w:rFonts w:ascii="Times New Roman" w:hAnsi="Times New Roman" w:cs="Times New Roman"/>
          <w:sz w:val="18"/>
          <w:szCs w:val="18"/>
          <w:lang w:eastAsia="ru-RU"/>
        </w:rPr>
      </w:r>
      <w:r>
        <w:rPr>
          <w:rFonts w:ascii="Times New Roman" w:hAnsi="Times New Roman" w:cs="Times New Roman"/>
          <w:sz w:val="18"/>
          <w:szCs w:val="18"/>
          <w:lang w:eastAsia="ru-RU"/>
        </w:rPr>
      </w:r>
    </w:p>
    <w:p>
      <w:pPr>
        <w:ind w:firstLine="539"/>
        <w:spacing w:before="0" w:beforeAutospacing="0" w:line="240" w:lineRule="auto"/>
        <w:widowControl w:val="off"/>
        <w:rPr>
          <w:rFonts w:ascii="Times New Roman" w:hAnsi="Times New Roman" w:cs="Times New Roman"/>
          <w:sz w:val="6"/>
          <w:szCs w:val="6"/>
          <w:lang w:eastAsia="ru-RU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«___»________ ____ 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г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.</w:t>
      </w:r>
      <w:r>
        <w:rPr>
          <w:rFonts w:ascii="Times New Roman" w:hAnsi="Times New Roman" w:cs="Times New Roman"/>
          <w:sz w:val="6"/>
          <w:szCs w:val="6"/>
          <w:lang w:eastAsia="ru-RU"/>
        </w:rPr>
      </w:r>
      <w:r>
        <w:rPr>
          <w:rFonts w:ascii="Times New Roman" w:hAnsi="Times New Roman" w:cs="Times New Roman"/>
          <w:sz w:val="6"/>
          <w:szCs w:val="6"/>
          <w:lang w:eastAsia="ru-RU"/>
        </w:rPr>
      </w:r>
    </w:p>
    <w:p>
      <w:pPr>
        <w:ind w:firstLine="539"/>
        <w:spacing w:before="120" w:line="240" w:lineRule="auto"/>
        <w:widowControl w:val="off"/>
        <w:rPr>
          <w:rFonts w:ascii="Times New Roman" w:hAnsi="Times New Roman" w:cs="Times New Roman"/>
          <w:lang w:eastAsia="ru-RU"/>
        </w:rPr>
        <w:sectPr>
          <w:headerReference w:type="default" r:id="rId12"/>
          <w:headerReference w:type="first" r:id="rId13"/>
          <w:footnotePr>
            <w:numFmt w:val="chicago"/>
          </w:footnotePr>
          <w:endnotePr/>
          <w:type w:val="nextPage"/>
          <w:pgSz w:w="11906" w:h="16838" w:orient="portrait"/>
          <w:pgMar w:top="680" w:right="851" w:bottom="567" w:left="1701" w:header="709" w:footer="709" w:gutter="0"/>
          <w:pgNumType w:start="5"/>
          <w:cols w:num="1" w:sep="0" w:space="708" w:equalWidth="1"/>
          <w:docGrid w:linePitch="360"/>
          <w:titlePg/>
        </w:sectPr>
      </w:pP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</w:p>
    <w:tbl>
      <w:tblPr>
        <w:tblStyle w:val="989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3510"/>
        <w:gridCol w:w="6060"/>
      </w:tblGrid>
      <w:tr>
        <w:tblPrEx/>
        <w:trPr/>
        <w:tc>
          <w:tcPr>
            <w:tcW w:w="3510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6060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Приложение № 2 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PT Astra Serif" w:hAnsi="PT Astra Serif" w:cs="PT Astra Serif"/>
                <w:i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к Порядку открытия</w:t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, ведения и закрытия специальных избирательных счетов для формирования избирательных фондов кандидатов без личного присутствия (дистанционно) при проведении выборов в органы государственной власти, в органы местного самоуправления</w:t>
            </w:r>
            <w:r>
              <w:rPr>
                <w:rFonts w:ascii="PT Astra Serif" w:hAnsi="PT Astra Serif" w:cs="PT Astra Serif"/>
                <w:i/>
                <w:sz w:val="22"/>
                <w:szCs w:val="22"/>
              </w:rPr>
            </w:r>
            <w:r>
              <w:rPr>
                <w:rFonts w:ascii="PT Astra Serif" w:hAnsi="PT Astra Serif" w:cs="PT Astra Serif"/>
                <w:i/>
                <w:sz w:val="22"/>
                <w:szCs w:val="22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PT Astra Serif" w:hAnsi="PT Astra Serif" w:cs="PT Astra Serif"/>
                <w:i/>
              </w:rPr>
            </w:pPr>
            <w:r>
              <w:rPr>
                <w:rFonts w:ascii="PT Astra Serif" w:hAnsi="PT Astra Serif" w:eastAsia="PT Astra Serif" w:cs="PT Astra Serif"/>
                <w:i/>
              </w:rPr>
            </w:r>
            <w:r>
              <w:rPr>
                <w:rFonts w:ascii="PT Astra Serif" w:hAnsi="PT Astra Serif" w:cs="PT Astra Serif"/>
                <w:i/>
              </w:rPr>
            </w:r>
            <w:r>
              <w:rPr>
                <w:rFonts w:ascii="PT Astra Serif" w:hAnsi="PT Astra Serif" w:cs="PT Astra Serif"/>
                <w:i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PT Astra Serif" w:hAnsi="PT Astra Serif" w:cs="PT Astra Serif"/>
                <w:i/>
              </w:rPr>
            </w:pPr>
            <w:r>
              <w:rPr>
                <w:rFonts w:ascii="PT Astra Serif" w:hAnsi="PT Astra Serif" w:eastAsia="PT Astra Serif" w:cs="PT Astra Serif"/>
                <w:i/>
                <w:sz w:val="22"/>
                <w:szCs w:val="22"/>
              </w:rPr>
              <w:t xml:space="preserve">(примерная форма)</w:t>
            </w:r>
            <w:r>
              <w:rPr>
                <w:rFonts w:ascii="PT Astra Serif" w:hAnsi="PT Astra Serif" w:cs="PT Astra Serif"/>
                <w:i/>
              </w:rPr>
            </w:r>
            <w:r>
              <w:rPr>
                <w:rFonts w:ascii="PT Astra Serif" w:hAnsi="PT Astra Serif" w:cs="PT Astra Serif"/>
                <w:i/>
              </w:rPr>
            </w:r>
          </w:p>
        </w:tc>
      </w:tr>
    </w:tbl>
    <w:tbl>
      <w:tblPr>
        <w:tblW w:w="9628" w:type="dxa"/>
        <w:tblLayout w:type="fixed"/>
        <w:tblLook w:val="0000" w:firstRow="0" w:lastRow="0" w:firstColumn="0" w:lastColumn="0" w:noHBand="0" w:noVBand="0"/>
      </w:tblPr>
      <w:tblGrid>
        <w:gridCol w:w="3118"/>
        <w:gridCol w:w="651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51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lang w:eastAsia="ru-RU"/>
              </w:rPr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8" w:type="dxa"/>
            <w:textDirection w:val="lrTb"/>
            <w:noWrap w:val="false"/>
          </w:tcPr>
          <w:p>
            <w:pPr>
              <w:ind w:firstLine="0"/>
              <w:jc w:val="right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510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lang w:eastAsia="ru-RU"/>
              </w:rPr>
              <w:t xml:space="preserve">В ___________________________________________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(наименование избирательной комиссии)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</w:tbl>
    <w:p>
      <w:pPr>
        <w:jc w:val="right"/>
        <w:spacing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right"/>
        <w:spacing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right"/>
        <w:spacing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right"/>
        <w:spacing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0"/>
        <w:jc w:val="center"/>
        <w:spacing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  <w:lang w:eastAsia="ru-RU"/>
        </w:rPr>
        <w:t xml:space="preserve">УВЕДОМЛЕНИЕ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0"/>
        <w:jc w:val="center"/>
        <w:spacing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  <w:lang w:eastAsia="ru-RU"/>
        </w:rPr>
        <w:t xml:space="preserve">об открытии специального избирательного счета кандидата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0"/>
        <w:jc w:val="center"/>
        <w:spacing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  <w:lang w:eastAsia="ru-RU"/>
        </w:rPr>
        <w:t xml:space="preserve">и о его реквизитах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0"/>
        <w:spacing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0"/>
        <w:spacing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tbl>
      <w:tblPr>
        <w:tblStyle w:val="989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1667"/>
        <w:gridCol w:w="7627"/>
        <w:gridCol w:w="276"/>
      </w:tblGrid>
      <w:tr>
        <w:tblPrEx/>
        <w:trPr>
          <w:trHeight w:val="210"/>
        </w:trPr>
        <w:tc>
          <w:tcPr>
            <w:tcW w:w="1667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</w:rPr>
              <w:t xml:space="preserve">Я, кандидат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7627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276" w:type="dxa"/>
            <w:textDirection w:val="lrTb"/>
            <w:noWrap w:val="false"/>
          </w:tcPr>
          <w:p>
            <w:pPr>
              <w:ind w:left="-113" w:right="-113" w:firstLine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,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tcW w:w="1667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</w:tcBorders>
            <w:tcW w:w="7627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(фамилия, имя, отчество кандидата)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W w:w="276" w:type="dxa"/>
            <w:textDirection w:val="lrTb"/>
            <w:noWrap w:val="false"/>
          </w:tcPr>
          <w:p>
            <w:pPr>
              <w:ind w:left="-113" w:right="-113" w:firstLine="0"/>
              <w:jc w:val="center"/>
              <w:spacing w:line="240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</w:tr>
    </w:tbl>
    <w:p>
      <w:pPr>
        <w:ind w:firstLine="0"/>
        <w:spacing w:before="240" w:line="240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eastAsia="ru-RU"/>
        </w:rPr>
        <w:t xml:space="preserve">уведомляю о том, что для проведения избирательной кампании по выборам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ind w:firstLine="0"/>
        <w:spacing w:before="180" w:line="240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eastAsia="ru-RU"/>
        </w:rPr>
        <w:t xml:space="preserve">__________________________________________________________________ 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ind w:firstLine="0"/>
        <w:jc w:val="center"/>
        <w:spacing w:line="240" w:lineRule="auto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(наименование избирательной кампании)</w:t>
      </w:r>
      <w:r>
        <w:rPr>
          <w:rFonts w:ascii="PT Astra Serif" w:hAnsi="PT Astra Serif" w:cs="PT Astra Serif"/>
          <w:sz w:val="20"/>
          <w:szCs w:val="20"/>
        </w:rPr>
      </w:r>
      <w:r>
        <w:rPr>
          <w:rFonts w:ascii="PT Astra Serif" w:hAnsi="PT Astra Serif" w:cs="PT Astra Serif"/>
          <w:sz w:val="20"/>
          <w:szCs w:val="20"/>
        </w:rPr>
      </w:r>
    </w:p>
    <w:p>
      <w:pPr>
        <w:ind w:firstLine="0"/>
        <w:spacing w:before="180" w:line="240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eastAsia="ru-RU"/>
        </w:rPr>
        <w:t xml:space="preserve">«___»_________ 20____ года мною открыт специальный избирательный счет 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ind w:firstLine="0"/>
        <w:spacing w:line="240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00" w:firstRow="0" w:lastRow="0" w:firstColumn="0" w:lastColumn="0" w:noHBand="0" w:noVBand="0"/>
      </w:tblPr>
      <w:tblGrid>
        <w:gridCol w:w="9335"/>
        <w:gridCol w:w="236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9335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36" w:type="dxa"/>
            <w:textDirection w:val="lrTb"/>
            <w:noWrap w:val="false"/>
          </w:tcPr>
          <w:p>
            <w:pPr>
              <w:ind w:left="-113" w:right="-113" w:firstLine="0"/>
              <w:jc w:val="right"/>
              <w:spacing w:line="240" w:lineRule="auto"/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335" w:type="dxa"/>
            <w:textDirection w:val="lrTb"/>
            <w:noWrap w:val="false"/>
          </w:tcPr>
          <w:p>
            <w:pPr>
              <w:ind w:left="-57" w:right="-57" w:firstLine="0"/>
              <w:jc w:val="center"/>
              <w:spacing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(номер специального избирательного счета)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textDirection w:val="lrTb"/>
            <w:noWrap w:val="false"/>
          </w:tcPr>
          <w:p>
            <w:pPr>
              <w:ind w:left="-113" w:right="-113" w:firstLine="0"/>
              <w:jc w:val="right"/>
              <w:spacing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</w:tbl>
    <w:p>
      <w:pPr>
        <w:ind w:firstLine="0"/>
        <w:jc w:val="center"/>
        <w:spacing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0"/>
        <w:spacing w:line="240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eastAsia="ru-RU"/>
        </w:rPr>
        <w:t xml:space="preserve">Наименование и адрес филиала кредитной организации: _________________</w:t>
      </w:r>
      <w:r>
        <w:rPr>
          <w:rFonts w:ascii="PT Astra Serif" w:hAnsi="PT Astra Serif" w:eastAsia="PT Astra Serif" w:cs="PT Astra Serif"/>
          <w:lang w:eastAsia="ru-RU"/>
        </w:rPr>
        <w:t xml:space="preserve">_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ind w:firstLine="0"/>
        <w:spacing w:before="120" w:line="240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eastAsia="ru-RU"/>
        </w:rPr>
        <w:t xml:space="preserve">__________________________________________________________________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ind w:firstLine="0"/>
        <w:spacing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0"/>
        <w:spacing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0"/>
        <w:spacing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0"/>
        <w:spacing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936"/>
        <w:gridCol w:w="992"/>
        <w:gridCol w:w="4642"/>
      </w:tblGrid>
      <w:tr>
        <w:tblPrEx/>
        <w:trPr>
          <w:cantSplit/>
          <w:trHeight w:val="92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36" w:type="dxa"/>
            <w:textDirection w:val="lrTb"/>
            <w:noWrap w:val="false"/>
          </w:tcPr>
          <w:p>
            <w:pPr>
              <w:ind w:right="-89" w:firstLine="0"/>
              <w:spacing w:line="240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  <w:t xml:space="preserve">Кандидат</w:t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  <w:p>
            <w:pPr>
              <w:ind w:right="-89" w:firstLine="0"/>
              <w:spacing w:line="240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ind w:firstLine="0"/>
              <w:keepNext/>
              <w:spacing w:line="240" w:lineRule="auto"/>
              <w:rPr>
                <w:rFonts w:ascii="PT Astra Serif" w:hAnsi="PT Astra Serif" w:cs="PT Astra Serif"/>
              </w:rPr>
              <w:outlineLvl w:val="1"/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642" w:type="dxa"/>
            <w:vAlign w:val="bottom"/>
            <w:textDirection w:val="lrTb"/>
            <w:noWrap w:val="false"/>
          </w:tcPr>
          <w:p>
            <w:pPr>
              <w:ind w:right="-183" w:firstLine="0"/>
              <w:spacing w:line="240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36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42" w:type="dxa"/>
            <w:textDirection w:val="lrTb"/>
            <w:noWrap w:val="false"/>
          </w:tcPr>
          <w:p>
            <w:pPr>
              <w:ind w:left="-108" w:right="-183"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(инициалы, фамилия кандидата, подпись, дата)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</w:tbl>
    <w:p>
      <w:pPr>
        <w:spacing w:line="240" w:lineRule="auto"/>
        <w:widowControl w:val="off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</w:font>
  <w:font w:name="Times New Roman">
    <w:panose1 w:val="02020603050405020304"/>
  </w:font>
  <w:font w:name="Arial">
    <w:panose1 w:val="020B0604020202020204"/>
  </w:font>
  <w:font w:name="PT Astra Serif">
    <w:panose1 w:val="020A0603040505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8"/>
      <w:ind w:firstLine="0"/>
      <w:jc w:val="left"/>
      <w:rPr>
        <w:sz w:val="16"/>
        <w:szCs w:val="16"/>
      </w:rPr>
      <w:suppressLineNumbers w:val="0"/>
    </w:pPr>
    <w:r>
      <w:rPr>
        <w:sz w:val="16"/>
        <w:szCs w:val="16"/>
      </w:rPr>
      <w:t xml:space="preserve">t0306003</w:t>
    </w:r>
    <w:r>
      <w:rPr>
        <w:sz w:val="16"/>
        <w:szCs w:val="16"/>
      </w:rPr>
    </w:r>
    <w:r>
      <w:rPr>
        <w:sz w:val="16"/>
        <w:szCs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8"/>
      <w:ind w:firstLine="0"/>
      <w:jc w:val="left"/>
      <w:suppressLineNumbers w:val="0"/>
    </w:pPr>
    <w:r>
      <w:rPr>
        <w:sz w:val="16"/>
        <w:szCs w:val="16"/>
      </w:rPr>
      <w:t xml:space="preserve">t0306003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ind w:firstLine="0"/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  <w:footnote w:id="2">
    <w:p>
      <w:pPr>
        <w:pStyle w:val="969"/>
        <w:ind w:left="0" w:firstLine="0"/>
        <w:rPr>
          <w:rFonts w:ascii="PT Astra Serif" w:hAnsi="PT Astra Serif" w:cs="PT Astra Serif"/>
          <w:sz w:val="18"/>
          <w:szCs w:val="18"/>
        </w:rPr>
      </w:pPr>
      <w:r>
        <w:rPr>
          <w:rStyle w:val="971"/>
          <w:rFonts w:ascii="PT Astra Serif" w:hAnsi="PT Astra Serif" w:eastAsia="PT Astra Serif" w:cs="PT Astra Serif"/>
          <w:sz w:val="18"/>
          <w:szCs w:val="18"/>
        </w:rPr>
        <w:footnoteRef/>
      </w:r>
      <w:r>
        <w:rPr>
          <w:rStyle w:val="971"/>
          <w:rFonts w:ascii="PT Astra Serif" w:hAnsi="PT Astra Serif" w:eastAsia="PT Astra Serif" w:cs="PT Astra Serif"/>
          <w:sz w:val="18"/>
          <w:szCs w:val="18"/>
        </w:rPr>
        <w:t xml:space="preserve"> </w:t>
      </w:r>
      <w:r>
        <w:rPr>
          <w:rFonts w:ascii="PT Astra Serif" w:hAnsi="PT Astra Serif" w:eastAsia="PT Astra Serif" w:cs="PT Astra Serif"/>
          <w:sz w:val="18"/>
          <w:szCs w:val="18"/>
        </w:rPr>
        <w:t xml:space="preserve">Цифровой </w:t>
      </w:r>
      <w:r>
        <w:rPr>
          <w:rStyle w:val="988"/>
          <w:rFonts w:ascii="PT Astra Serif" w:hAnsi="PT Astra Serif" w:eastAsia="PT Astra Serif" w:cs="PT Astra Serif"/>
          <w:b w:val="0"/>
          <w:sz w:val="18"/>
          <w:szCs w:val="18"/>
        </w:rPr>
        <w:t xml:space="preserve">сервис дистанционного открытия специального избирательного счета кандидата предоставляется</w:t>
      </w:r>
      <w:r>
        <w:rPr>
          <w:rFonts w:ascii="PT Astra Serif" w:hAnsi="PT Astra Serif" w:eastAsia="PT Astra Serif" w:cs="PT Astra Serif"/>
          <w:b/>
          <w:sz w:val="18"/>
          <w:szCs w:val="18"/>
        </w:rPr>
        <w:t xml:space="preserve"> </w:t>
      </w:r>
      <w:r>
        <w:rPr>
          <w:rFonts w:ascii="PT Astra Serif" w:hAnsi="PT Astra Serif" w:eastAsia="PT Astra Serif" w:cs="PT Astra Serif"/>
          <w:sz w:val="18"/>
          <w:szCs w:val="18"/>
        </w:rPr>
        <w:t xml:space="preserve">пользователям </w:t>
      </w:r>
      <w:r>
        <w:rPr>
          <w:rFonts w:ascii="PT Astra Serif" w:hAnsi="PT Astra Serif" w:eastAsia="PT Astra Serif" w:cs="PT Astra Serif"/>
          <w:sz w:val="18"/>
          <w:szCs w:val="18"/>
        </w:rPr>
        <w:t xml:space="preserve">мобильного</w:t>
      </w:r>
      <w:r>
        <w:rPr>
          <w:rFonts w:ascii="PT Astra Serif" w:hAnsi="PT Astra Serif" w:eastAsia="PT Astra Serif" w:cs="PT Astra Serif"/>
          <w:sz w:val="18"/>
          <w:szCs w:val="18"/>
        </w:rPr>
        <w:t xml:space="preserve"> приложения </w:t>
      </w:r>
      <w:r>
        <w:rPr>
          <w:rFonts w:ascii="PT Astra Serif" w:hAnsi="PT Astra Serif" w:eastAsia="PT Astra Serif" w:cs="PT Astra Serif"/>
          <w:sz w:val="18"/>
          <w:szCs w:val="18"/>
        </w:rPr>
        <w:t xml:space="preserve">СберБанк</w:t>
      </w:r>
      <w:r>
        <w:rPr>
          <w:rFonts w:ascii="PT Astra Serif" w:hAnsi="PT Astra Serif" w:eastAsia="PT Astra Serif" w:cs="PT Astra Serif"/>
          <w:sz w:val="18"/>
          <w:szCs w:val="18"/>
        </w:rPr>
        <w:t xml:space="preserve"> </w:t>
      </w:r>
      <w:r>
        <w:rPr>
          <w:rFonts w:ascii="PT Astra Serif" w:hAnsi="PT Astra Serif" w:eastAsia="PT Astra Serif" w:cs="PT Astra Serif"/>
          <w:sz w:val="18"/>
          <w:szCs w:val="18"/>
        </w:rPr>
        <w:t xml:space="preserve">Онлайн</w:t>
      </w:r>
      <w:r>
        <w:rPr>
          <w:rFonts w:ascii="PT Astra Serif" w:hAnsi="PT Astra Serif" w:eastAsia="PT Astra Serif" w:cs="PT Astra Serif"/>
          <w:sz w:val="18"/>
          <w:szCs w:val="18"/>
        </w:rPr>
        <w:t xml:space="preserve">. Данная услуга не доступна при использовании web-версии приложения </w:t>
      </w:r>
      <w:r>
        <w:rPr>
          <w:rFonts w:ascii="PT Astra Serif" w:hAnsi="PT Astra Serif" w:eastAsia="PT Astra Serif" w:cs="PT Astra Serif"/>
          <w:sz w:val="18"/>
          <w:szCs w:val="18"/>
        </w:rPr>
        <w:t xml:space="preserve">СберБанк</w:t>
      </w:r>
      <w:r>
        <w:rPr>
          <w:rFonts w:ascii="PT Astra Serif" w:hAnsi="PT Astra Serif" w:eastAsia="PT Astra Serif" w:cs="PT Astra Serif"/>
          <w:sz w:val="18"/>
          <w:szCs w:val="18"/>
        </w:rPr>
        <w:t xml:space="preserve"> </w:t>
      </w:r>
      <w:r>
        <w:rPr>
          <w:rFonts w:ascii="PT Astra Serif" w:hAnsi="PT Astra Serif" w:eastAsia="PT Astra Serif" w:cs="PT Astra Serif"/>
          <w:sz w:val="18"/>
          <w:szCs w:val="18"/>
        </w:rPr>
        <w:t xml:space="preserve">Онлайн</w:t>
      </w:r>
      <w:r>
        <w:rPr>
          <w:rFonts w:ascii="PT Astra Serif" w:hAnsi="PT Astra Serif" w:eastAsia="PT Astra Serif" w:cs="PT Astra Serif"/>
          <w:sz w:val="18"/>
          <w:szCs w:val="18"/>
        </w:rPr>
        <w:t xml:space="preserve"> (на официальном сайте ПАО Сбербанк).</w:t>
      </w:r>
      <w:r>
        <w:rPr>
          <w:rFonts w:ascii="PT Astra Serif" w:hAnsi="PT Astra Serif" w:cs="PT Astra Serif"/>
          <w:sz w:val="18"/>
          <w:szCs w:val="18"/>
        </w:rPr>
      </w:r>
      <w:r>
        <w:rPr>
          <w:rFonts w:ascii="PT Astra Serif" w:hAnsi="PT Astra Serif" w:cs="PT Astra Serif"/>
          <w:sz w:val="18"/>
          <w:szCs w:val="18"/>
        </w:rPr>
      </w:r>
    </w:p>
  </w:footnote>
  <w:footnote w:id="3">
    <w:p>
      <w:pPr>
        <w:pStyle w:val="969"/>
        <w:ind w:left="0" w:firstLine="0"/>
        <w:rPr>
          <w:rFonts w:ascii="PT Astra Serif" w:hAnsi="PT Astra Serif" w:cs="PT Astra Serif"/>
          <w:sz w:val="20"/>
          <w:szCs w:val="20"/>
        </w:rPr>
      </w:pPr>
      <w:r>
        <w:rPr>
          <w:rStyle w:val="971"/>
          <w:rFonts w:ascii="PT Astra Serif" w:hAnsi="PT Astra Serif" w:eastAsia="PT Astra Serif" w:cs="PT Astra Serif"/>
          <w:sz w:val="18"/>
          <w:szCs w:val="18"/>
        </w:rPr>
        <w:footnoteRef/>
      </w:r>
      <w:r>
        <w:rPr>
          <w:rStyle w:val="971"/>
          <w:rFonts w:ascii="PT Astra Serif" w:hAnsi="PT Astra Serif" w:eastAsia="PT Astra Serif" w:cs="PT Astra Serif"/>
          <w:sz w:val="18"/>
          <w:szCs w:val="18"/>
        </w:rPr>
        <w:t xml:space="preserve"> </w:t>
      </w:r>
      <w:r>
        <w:rPr>
          <w:rFonts w:ascii="PT Astra Serif" w:hAnsi="PT Astra Serif" w:eastAsia="PT Astra Serif" w:cs="PT Astra Serif"/>
          <w:sz w:val="18"/>
          <w:szCs w:val="18"/>
        </w:rPr>
        <w:t xml:space="preserve">Форма заявления о присоединении и порядок его подписания устанавливаются правилами банковского обслуживания ПАО Сбербанк.</w:t>
      </w:r>
      <w:r>
        <w:rPr>
          <w:rFonts w:ascii="PT Astra Serif" w:hAnsi="PT Astra Serif" w:cs="PT Astra Serif"/>
          <w:sz w:val="20"/>
          <w:szCs w:val="20"/>
        </w:rPr>
      </w:r>
      <w:r>
        <w:rPr>
          <w:rFonts w:ascii="PT Astra Serif" w:hAnsi="PT Astra Serif" w:cs="PT Astra Serif"/>
          <w:sz w:val="20"/>
          <w:szCs w:val="20"/>
        </w:rPr>
      </w:r>
    </w:p>
  </w:footnote>
  <w:footnote w:id="4">
    <w:p>
      <w:pPr>
        <w:pStyle w:val="969"/>
        <w:ind w:left="0" w:firstLine="0"/>
        <w:rPr>
          <w:rFonts w:ascii="PT Astra Serif" w:hAnsi="PT Astra Serif" w:cs="PT Astra Serif"/>
          <w:sz w:val="18"/>
          <w:szCs w:val="18"/>
        </w:rPr>
      </w:pPr>
      <w:r>
        <w:rPr>
          <w:rStyle w:val="971"/>
          <w:rFonts w:ascii="PT Astra Serif" w:hAnsi="PT Astra Serif" w:eastAsia="PT Astra Serif" w:cs="PT Astra Serif"/>
          <w:sz w:val="18"/>
          <w:szCs w:val="18"/>
        </w:rPr>
        <w:t xml:space="preserve">*</w:t>
      </w:r>
      <w:r>
        <w:rPr>
          <w:rFonts w:ascii="PT Astra Serif" w:hAnsi="PT Astra Serif" w:eastAsia="PT Astra Serif" w:cs="PT Astra Serif"/>
          <w:sz w:val="18"/>
          <w:szCs w:val="18"/>
        </w:rPr>
        <w:t xml:space="preserve"> Указывает</w:t>
      </w:r>
      <w:r>
        <w:rPr>
          <w:rFonts w:ascii="PT Astra Serif" w:hAnsi="PT Astra Serif" w:eastAsia="PT Astra Serif" w:cs="PT Astra Serif"/>
          <w:sz w:val="18"/>
          <w:szCs w:val="18"/>
        </w:rPr>
        <w:t xml:space="preserve">ся дата не позднее </w:t>
      </w:r>
      <w:r>
        <w:rPr>
          <w:rFonts w:ascii="PT Astra Serif" w:hAnsi="PT Astra Serif" w:eastAsia="PT Astra Serif" w:cs="PT Astra Serif"/>
          <w:sz w:val="18"/>
          <w:szCs w:val="18"/>
        </w:rPr>
        <w:t xml:space="preserve">даты окончания периода представления документов, необходимых для регистрации кандидатов на выборах в соответствии с законом.</w:t>
      </w:r>
      <w:r>
        <w:rPr>
          <w:rFonts w:ascii="PT Astra Serif" w:hAnsi="PT Astra Serif" w:cs="PT Astra Serif"/>
          <w:sz w:val="18"/>
          <w:szCs w:val="18"/>
        </w:rPr>
      </w:r>
      <w:r>
        <w:rPr>
          <w:rFonts w:ascii="PT Astra Serif" w:hAnsi="PT Astra Serif" w:cs="PT Astra Serif"/>
          <w:sz w:val="18"/>
          <w:szCs w:val="18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6"/>
      <w:ind w:firstLine="0"/>
      <w:jc w:val="center"/>
      <w:suppressLineNumbers w:val="0"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6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6"/>
      <w:jc w:val="center"/>
      <w:rPr>
        <w:sz w:val="24"/>
        <w:szCs w:val="24"/>
      </w:rPr>
    </w:pPr>
    <w:fldSimple w:instr="PAGE \* MERGEFORMAT">
      <w:r>
        <w:rPr>
          <w:sz w:val="24"/>
          <w:szCs w:val="24"/>
        </w:rPr>
        <w:t xml:space="preserve">1</w:t>
      </w:r>
    </w:fldSimple>
    <w:r>
      <w:rPr>
        <w:sz w:val="24"/>
        <w:szCs w:val="24"/>
      </w:rPr>
    </w:r>
    <w:r>
      <w:rPr>
        <w:sz w:val="24"/>
        <w:szCs w:val="24"/>
      </w:rPr>
    </w:r>
    <w:r>
      <w:rPr>
        <w:sz w:val="24"/>
        <w:szCs w:val="24"/>
      </w:rPr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6"/>
      <w:rPr>
        <w:sz w:val="24"/>
        <w:szCs w:val="24"/>
      </w:rPr>
    </w:pPr>
    <w:r>
      <w:rPr>
        <w:sz w:val="24"/>
        <w:szCs w:val="24"/>
      </w:rPr>
    </w:r>
    <w:r>
      <w:rPr>
        <w:sz w:val="24"/>
        <w:szCs w:val="24"/>
      </w:rPr>
    </w:r>
    <w:r>
      <w:rPr>
        <w:sz w:val="24"/>
        <w:szCs w:val="24"/>
      </w:rPr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6"/>
      <w:ind w:firstLine="0"/>
      <w:jc w:val="left"/>
      <w:rPr>
        <w:sz w:val="2"/>
        <w:szCs w:val="2"/>
      </w:rPr>
      <w:suppressLineNumbers w:val="0"/>
    </w:pPr>
    <w:r>
      <w:rPr>
        <w:sz w:val="2"/>
        <w:szCs w:val="2"/>
      </w:rPr>
    </w:r>
    <w:r>
      <w:rPr>
        <w:sz w:val="2"/>
        <w:szCs w:val="2"/>
      </w:rPr>
    </w:r>
    <w:r>
      <w:rPr>
        <w:sz w:val="2"/>
        <w:szCs w:val="2"/>
      </w:rPr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6"/>
      <w:rPr>
        <w:sz w:val="6"/>
        <w:szCs w:val="6"/>
      </w:rPr>
    </w:pPr>
    <w:r>
      <w:rPr>
        <w:sz w:val="6"/>
        <w:szCs w:val="6"/>
      </w:rPr>
    </w:r>
    <w:r>
      <w:rPr>
        <w:sz w:val="6"/>
        <w:szCs w:val="6"/>
      </w:rPr>
    </w:r>
    <w:r>
      <w:rPr>
        <w:sz w:val="6"/>
        <w:szCs w:val="6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00">
    <w:name w:val="Title Char"/>
    <w:basedOn w:val="807"/>
    <w:link w:val="828"/>
    <w:uiPriority w:val="10"/>
    <w:rPr>
      <w:sz w:val="48"/>
      <w:szCs w:val="48"/>
    </w:rPr>
  </w:style>
  <w:style w:type="character" w:styleId="801">
    <w:name w:val="Subtitle Char"/>
    <w:basedOn w:val="807"/>
    <w:link w:val="830"/>
    <w:uiPriority w:val="11"/>
    <w:rPr>
      <w:sz w:val="24"/>
      <w:szCs w:val="24"/>
    </w:rPr>
  </w:style>
  <w:style w:type="character" w:styleId="802">
    <w:name w:val="Quote Char"/>
    <w:link w:val="832"/>
    <w:uiPriority w:val="29"/>
    <w:rPr>
      <w:i/>
    </w:rPr>
  </w:style>
  <w:style w:type="character" w:styleId="803">
    <w:name w:val="Intense Quote Char"/>
    <w:link w:val="834"/>
    <w:uiPriority w:val="30"/>
    <w:rPr>
      <w:i/>
    </w:rPr>
  </w:style>
  <w:style w:type="character" w:styleId="804">
    <w:name w:val="Footnote Text Char"/>
    <w:link w:val="969"/>
    <w:uiPriority w:val="99"/>
    <w:rPr>
      <w:sz w:val="18"/>
    </w:rPr>
  </w:style>
  <w:style w:type="character" w:styleId="805">
    <w:name w:val="Endnote Text Char"/>
    <w:link w:val="972"/>
    <w:uiPriority w:val="99"/>
    <w:rPr>
      <w:sz w:val="20"/>
    </w:rPr>
  </w:style>
  <w:style w:type="paragraph" w:styleId="806" w:default="1">
    <w:name w:val="Normal"/>
    <w:qFormat/>
    <w:pPr>
      <w:ind w:firstLine="709"/>
      <w:jc w:val="both"/>
      <w:spacing w:after="0" w:line="360" w:lineRule="auto"/>
    </w:pPr>
    <w:rPr>
      <w:rFonts w:ascii="PT Astra Serif" w:hAnsi="PT Astra Serif" w:eastAsia="PT Astra Serif" w:cs="PT Astra Serif"/>
      <w:sz w:val="28"/>
      <w:szCs w:val="28"/>
    </w:rPr>
  </w:style>
  <w:style w:type="character" w:styleId="807" w:default="1">
    <w:name w:val="Default Paragraph Font"/>
    <w:uiPriority w:val="1"/>
    <w:semiHidden/>
    <w:unhideWhenUsed/>
  </w:style>
  <w:style w:type="table" w:styleId="808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09" w:default="1">
    <w:name w:val="No List"/>
    <w:uiPriority w:val="99"/>
    <w:semiHidden/>
    <w:unhideWhenUsed/>
  </w:style>
  <w:style w:type="paragraph" w:styleId="810" w:customStyle="1">
    <w:name w:val="Heading 1"/>
    <w:basedOn w:val="806"/>
    <w:next w:val="806"/>
    <w:link w:val="81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811" w:customStyle="1">
    <w:name w:val="Heading 1 Char"/>
    <w:link w:val="810"/>
    <w:uiPriority w:val="9"/>
    <w:rPr>
      <w:rFonts w:ascii="Arial" w:hAnsi="Arial" w:eastAsia="Arial" w:cs="Arial"/>
      <w:sz w:val="40"/>
      <w:szCs w:val="40"/>
    </w:rPr>
  </w:style>
  <w:style w:type="paragraph" w:styleId="812" w:customStyle="1">
    <w:name w:val="Heading 2"/>
    <w:basedOn w:val="806"/>
    <w:next w:val="806"/>
    <w:link w:val="81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813" w:customStyle="1">
    <w:name w:val="Heading 2 Char"/>
    <w:link w:val="812"/>
    <w:uiPriority w:val="9"/>
    <w:rPr>
      <w:rFonts w:ascii="Arial" w:hAnsi="Arial" w:eastAsia="Arial" w:cs="Arial"/>
      <w:sz w:val="34"/>
    </w:rPr>
  </w:style>
  <w:style w:type="paragraph" w:styleId="814" w:customStyle="1">
    <w:name w:val="Heading 3"/>
    <w:basedOn w:val="806"/>
    <w:next w:val="806"/>
    <w:link w:val="81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815" w:customStyle="1">
    <w:name w:val="Heading 3 Char"/>
    <w:link w:val="814"/>
    <w:uiPriority w:val="9"/>
    <w:rPr>
      <w:rFonts w:ascii="Arial" w:hAnsi="Arial" w:eastAsia="Arial" w:cs="Arial"/>
      <w:sz w:val="30"/>
      <w:szCs w:val="30"/>
    </w:rPr>
  </w:style>
  <w:style w:type="paragraph" w:styleId="816" w:customStyle="1">
    <w:name w:val="Heading 4"/>
    <w:basedOn w:val="806"/>
    <w:next w:val="806"/>
    <w:link w:val="81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17" w:customStyle="1">
    <w:name w:val="Heading 4 Char"/>
    <w:link w:val="816"/>
    <w:uiPriority w:val="9"/>
    <w:rPr>
      <w:rFonts w:ascii="Arial" w:hAnsi="Arial" w:eastAsia="Arial" w:cs="Arial"/>
      <w:b/>
      <w:bCs/>
      <w:sz w:val="26"/>
      <w:szCs w:val="26"/>
    </w:rPr>
  </w:style>
  <w:style w:type="paragraph" w:styleId="818" w:customStyle="1">
    <w:name w:val="Heading 5"/>
    <w:basedOn w:val="806"/>
    <w:next w:val="806"/>
    <w:link w:val="81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19" w:customStyle="1">
    <w:name w:val="Heading 5 Char"/>
    <w:link w:val="818"/>
    <w:uiPriority w:val="9"/>
    <w:rPr>
      <w:rFonts w:ascii="Arial" w:hAnsi="Arial" w:eastAsia="Arial" w:cs="Arial"/>
      <w:b/>
      <w:bCs/>
      <w:sz w:val="24"/>
      <w:szCs w:val="24"/>
    </w:rPr>
  </w:style>
  <w:style w:type="paragraph" w:styleId="820" w:customStyle="1">
    <w:name w:val="Heading 6"/>
    <w:basedOn w:val="806"/>
    <w:next w:val="806"/>
    <w:link w:val="82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21" w:customStyle="1">
    <w:name w:val="Heading 6 Char"/>
    <w:link w:val="820"/>
    <w:uiPriority w:val="9"/>
    <w:rPr>
      <w:rFonts w:ascii="Arial" w:hAnsi="Arial" w:eastAsia="Arial" w:cs="Arial"/>
      <w:b/>
      <w:bCs/>
      <w:sz w:val="22"/>
      <w:szCs w:val="22"/>
    </w:rPr>
  </w:style>
  <w:style w:type="paragraph" w:styleId="822" w:customStyle="1">
    <w:name w:val="Heading 7"/>
    <w:basedOn w:val="806"/>
    <w:next w:val="806"/>
    <w:link w:val="82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23" w:customStyle="1">
    <w:name w:val="Heading 7 Char"/>
    <w:link w:val="82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24" w:customStyle="1">
    <w:name w:val="Heading 8"/>
    <w:basedOn w:val="806"/>
    <w:next w:val="806"/>
    <w:link w:val="82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25" w:customStyle="1">
    <w:name w:val="Heading 8 Char"/>
    <w:link w:val="824"/>
    <w:uiPriority w:val="9"/>
    <w:rPr>
      <w:rFonts w:ascii="Arial" w:hAnsi="Arial" w:eastAsia="Arial" w:cs="Arial"/>
      <w:i/>
      <w:iCs/>
      <w:sz w:val="22"/>
      <w:szCs w:val="22"/>
    </w:rPr>
  </w:style>
  <w:style w:type="paragraph" w:styleId="826" w:customStyle="1">
    <w:name w:val="Heading 9"/>
    <w:basedOn w:val="806"/>
    <w:next w:val="806"/>
    <w:link w:val="82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27" w:customStyle="1">
    <w:name w:val="Heading 9 Char"/>
    <w:link w:val="826"/>
    <w:uiPriority w:val="9"/>
    <w:rPr>
      <w:rFonts w:ascii="Arial" w:hAnsi="Arial" w:eastAsia="Arial" w:cs="Arial"/>
      <w:i/>
      <w:iCs/>
      <w:sz w:val="21"/>
      <w:szCs w:val="21"/>
    </w:rPr>
  </w:style>
  <w:style w:type="paragraph" w:styleId="828">
    <w:name w:val="Title"/>
    <w:basedOn w:val="806"/>
    <w:next w:val="806"/>
    <w:link w:val="82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29" w:customStyle="1">
    <w:name w:val="Название Знак"/>
    <w:link w:val="828"/>
    <w:uiPriority w:val="10"/>
    <w:rPr>
      <w:sz w:val="48"/>
      <w:szCs w:val="48"/>
    </w:rPr>
  </w:style>
  <w:style w:type="paragraph" w:styleId="830">
    <w:name w:val="Subtitle"/>
    <w:basedOn w:val="806"/>
    <w:next w:val="806"/>
    <w:link w:val="831"/>
    <w:uiPriority w:val="11"/>
    <w:qFormat/>
    <w:pPr>
      <w:spacing w:before="200" w:after="200"/>
    </w:pPr>
    <w:rPr>
      <w:sz w:val="24"/>
      <w:szCs w:val="24"/>
    </w:rPr>
  </w:style>
  <w:style w:type="character" w:styleId="831" w:customStyle="1">
    <w:name w:val="Подзаголовок Знак"/>
    <w:link w:val="830"/>
    <w:uiPriority w:val="11"/>
    <w:rPr>
      <w:sz w:val="24"/>
      <w:szCs w:val="24"/>
    </w:rPr>
  </w:style>
  <w:style w:type="paragraph" w:styleId="832">
    <w:name w:val="Quote"/>
    <w:basedOn w:val="806"/>
    <w:next w:val="806"/>
    <w:link w:val="833"/>
    <w:uiPriority w:val="29"/>
    <w:qFormat/>
    <w:pPr>
      <w:ind w:left="720" w:right="720"/>
    </w:pPr>
    <w:rPr>
      <w:i/>
    </w:rPr>
  </w:style>
  <w:style w:type="character" w:styleId="833" w:customStyle="1">
    <w:name w:val="Цитата 2 Знак"/>
    <w:link w:val="832"/>
    <w:uiPriority w:val="29"/>
    <w:rPr>
      <w:i/>
    </w:rPr>
  </w:style>
  <w:style w:type="paragraph" w:styleId="834">
    <w:name w:val="Intense Quote"/>
    <w:basedOn w:val="806"/>
    <w:next w:val="806"/>
    <w:link w:val="83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35" w:customStyle="1">
    <w:name w:val="Выделенная цитата Знак"/>
    <w:link w:val="834"/>
    <w:uiPriority w:val="30"/>
    <w:rPr>
      <w:i/>
    </w:rPr>
  </w:style>
  <w:style w:type="paragraph" w:styleId="836" w:customStyle="1">
    <w:name w:val="Header"/>
    <w:basedOn w:val="806"/>
    <w:link w:val="837"/>
    <w:uiPriority w:val="99"/>
    <w:unhideWhenUsed/>
    <w:pPr>
      <w:spacing w:line="240" w:lineRule="auto"/>
      <w:tabs>
        <w:tab w:val="center" w:pos="7143" w:leader="none"/>
        <w:tab w:val="right" w:pos="14287" w:leader="none"/>
      </w:tabs>
    </w:pPr>
  </w:style>
  <w:style w:type="character" w:styleId="837" w:customStyle="1">
    <w:name w:val="Header Char"/>
    <w:link w:val="836"/>
    <w:uiPriority w:val="99"/>
  </w:style>
  <w:style w:type="paragraph" w:styleId="838" w:customStyle="1">
    <w:name w:val="Footer"/>
    <w:basedOn w:val="806"/>
    <w:link w:val="839"/>
    <w:uiPriority w:val="99"/>
    <w:unhideWhenUsed/>
    <w:pPr>
      <w:spacing w:line="240" w:lineRule="auto"/>
      <w:tabs>
        <w:tab w:val="center" w:pos="7143" w:leader="none"/>
        <w:tab w:val="right" w:pos="14287" w:leader="none"/>
      </w:tabs>
    </w:pPr>
  </w:style>
  <w:style w:type="character" w:styleId="839" w:customStyle="1">
    <w:name w:val="Footer Char"/>
    <w:link w:val="838"/>
    <w:uiPriority w:val="99"/>
  </w:style>
  <w:style w:type="paragraph" w:styleId="840" w:customStyle="1">
    <w:name w:val="Caption"/>
    <w:basedOn w:val="806"/>
    <w:next w:val="806"/>
    <w:link w:val="841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841" w:customStyle="1">
    <w:name w:val="Caption Char"/>
    <w:link w:val="840"/>
    <w:uiPriority w:val="35"/>
    <w:rPr>
      <w:b/>
      <w:bCs/>
      <w:color w:val="5b9bd5" w:themeColor="accent1"/>
      <w:sz w:val="18"/>
      <w:szCs w:val="18"/>
    </w:rPr>
  </w:style>
  <w:style w:type="table" w:styleId="842">
    <w:name w:val="Table Grid"/>
    <w:basedOn w:val="80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43" w:customStyle="1">
    <w:name w:val="Table Grid Light"/>
    <w:basedOn w:val="808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44" w:customStyle="1">
    <w:name w:val="Plain Table 1"/>
    <w:basedOn w:val="808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45" w:customStyle="1">
    <w:name w:val="Plain Table 2"/>
    <w:basedOn w:val="80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46" w:customStyle="1">
    <w:name w:val="Plain Table 3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47" w:customStyle="1">
    <w:name w:val="Plain Table 4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Plain Table 5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49" w:customStyle="1">
    <w:name w:val="Grid Table 1 Light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Grid Table 1 Light - Accent 1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Grid Table 1 Light - Accent 2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Grid Table 1 Light - Accent 3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Grid Table 1 Light - Accent 4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Grid Table 1 Light - Accent 5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Grid Table 1 Light - Accent 6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Grid Table 2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Grid Table 2 - Accent 1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Grid Table 2 - Accent 2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Grid Table 2 - Accent 3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Grid Table 2 - Accent 4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Grid Table 2 - Accent 5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Grid Table 2 - Accent 6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Grid Table 3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Grid Table 3 - Accent 1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Grid Table 3 - Accent 2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Grid Table 3 - Accent 3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Grid Table 3 - Accent 4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Grid Table 3 - Accent 5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Grid Table 3 - Accent 6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Grid Table 4"/>
    <w:basedOn w:val="8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71" w:customStyle="1">
    <w:name w:val="Grid Table 4 - Accent 1"/>
    <w:basedOn w:val="8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72" w:customStyle="1">
    <w:name w:val="Grid Table 4 - Accent 2"/>
    <w:basedOn w:val="8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73" w:customStyle="1">
    <w:name w:val="Grid Table 4 - Accent 3"/>
    <w:basedOn w:val="8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74" w:customStyle="1">
    <w:name w:val="Grid Table 4 - Accent 4"/>
    <w:basedOn w:val="8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75" w:customStyle="1">
    <w:name w:val="Grid Table 4 - Accent 5"/>
    <w:basedOn w:val="8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76" w:customStyle="1">
    <w:name w:val="Grid Table 4 - Accent 6"/>
    <w:basedOn w:val="8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77" w:customStyle="1">
    <w:name w:val="Grid Table 5 Dark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78" w:customStyle="1">
    <w:name w:val="Grid Table 5 Dark- Accent 1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79" w:customStyle="1">
    <w:name w:val="Grid Table 5 Dark - Accent 2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80" w:customStyle="1">
    <w:name w:val="Grid Table 5 Dark - Accent 3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81" w:customStyle="1">
    <w:name w:val="Grid Table 5 Dark- Accent 4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82" w:customStyle="1">
    <w:name w:val="Grid Table 5 Dark - Accent 5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83" w:customStyle="1">
    <w:name w:val="Grid Table 5 Dark - Accent 6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84" w:customStyle="1">
    <w:name w:val="Grid Table 6 Colorful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85" w:customStyle="1">
    <w:name w:val="Grid Table 6 Colorful - Accent 1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86" w:customStyle="1">
    <w:name w:val="Grid Table 6 Colorful - Accent 2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87" w:customStyle="1">
    <w:name w:val="Grid Table 6 Colorful - Accent 3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88" w:customStyle="1">
    <w:name w:val="Grid Table 6 Colorful - Accent 4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89" w:customStyle="1">
    <w:name w:val="Grid Table 6 Colorful - Accent 5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90" w:customStyle="1">
    <w:name w:val="Grid Table 6 Colorful - Accent 6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91" w:customStyle="1">
    <w:name w:val="Grid Table 7 Colorful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Grid Table 7 Colorful - Accent 1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 w:customStyle="1">
    <w:name w:val="Grid Table 7 Colorful - Accent 2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 w:customStyle="1">
    <w:name w:val="Grid Table 7 Colorful - Accent 3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 w:customStyle="1">
    <w:name w:val="Grid Table 7 Colorful - Accent 4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 w:customStyle="1">
    <w:name w:val="Grid Table 7 Colorful - Accent 5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 w:customStyle="1">
    <w:name w:val="Grid Table 7 Colorful - Accent 6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 w:customStyle="1">
    <w:name w:val="List Table 1 Light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 w:customStyle="1">
    <w:name w:val="List Table 1 Light - Accent 1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 w:customStyle="1">
    <w:name w:val="List Table 1 Light - Accent 2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 w:customStyle="1">
    <w:name w:val="List Table 1 Light - Accent 3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 w:customStyle="1">
    <w:name w:val="List Table 1 Light - Accent 4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 w:customStyle="1">
    <w:name w:val="List Table 1 Light - Accent 5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 w:customStyle="1">
    <w:name w:val="List Table 1 Light - Accent 6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 w:customStyle="1">
    <w:name w:val="List Table 2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06" w:customStyle="1">
    <w:name w:val="List Table 2 - Accent 1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907" w:customStyle="1">
    <w:name w:val="List Table 2 - Accent 2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908" w:customStyle="1">
    <w:name w:val="List Table 2 - Accent 3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909" w:customStyle="1">
    <w:name w:val="List Table 2 - Accent 4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910" w:customStyle="1">
    <w:name w:val="List Table 2 - Accent 5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911" w:customStyle="1">
    <w:name w:val="List Table 2 - Accent 6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912" w:customStyle="1">
    <w:name w:val="List Table 3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3" w:customStyle="1">
    <w:name w:val="List Table 3 - Accent 1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4" w:customStyle="1">
    <w:name w:val="List Table 3 - Accent 2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5" w:customStyle="1">
    <w:name w:val="List Table 3 - Accent 3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6" w:customStyle="1">
    <w:name w:val="List Table 3 - Accent 4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7" w:customStyle="1">
    <w:name w:val="List Table 3 - Accent 5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8" w:customStyle="1">
    <w:name w:val="List Table 3 - Accent 6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 w:customStyle="1">
    <w:name w:val="List Table 4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0" w:customStyle="1">
    <w:name w:val="List Table 4 - Accent 1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 w:customStyle="1">
    <w:name w:val="List Table 4 - Accent 2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 w:customStyle="1">
    <w:name w:val="List Table 4 - Accent 3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 w:customStyle="1">
    <w:name w:val="List Table 4 - Accent 4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 w:customStyle="1">
    <w:name w:val="List Table 4 - Accent 5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 w:customStyle="1">
    <w:name w:val="List Table 4 - Accent 6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 w:customStyle="1">
    <w:name w:val="List Table 5 Dark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7" w:customStyle="1">
    <w:name w:val="List Table 5 Dark - Accent 1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8" w:customStyle="1">
    <w:name w:val="List Table 5 Dark - Accent 2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9" w:customStyle="1">
    <w:name w:val="List Table 5 Dark - Accent 3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0" w:customStyle="1">
    <w:name w:val="List Table 5 Dark - Accent 4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1" w:customStyle="1">
    <w:name w:val="List Table 5 Dark - Accent 5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2" w:customStyle="1">
    <w:name w:val="List Table 5 Dark - Accent 6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3" w:customStyle="1">
    <w:name w:val="List Table 6 Colorful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34" w:customStyle="1">
    <w:name w:val="List Table 6 Colorful - Accent 1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935" w:customStyle="1">
    <w:name w:val="List Table 6 Colorful - Accent 2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936" w:customStyle="1">
    <w:name w:val="List Table 6 Colorful - Accent 3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937" w:customStyle="1">
    <w:name w:val="List Table 6 Colorful - Accent 4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938" w:customStyle="1">
    <w:name w:val="List Table 6 Colorful - Accent 5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939" w:customStyle="1">
    <w:name w:val="List Table 6 Colorful - Accent 6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940" w:customStyle="1">
    <w:name w:val="List Table 7 Colorful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1" w:customStyle="1">
    <w:name w:val="List Table 7 Colorful - Accent 1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2" w:customStyle="1">
    <w:name w:val="List Table 7 Colorful - Accent 2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3" w:customStyle="1">
    <w:name w:val="List Table 7 Colorful - Accent 3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4" w:customStyle="1">
    <w:name w:val="List Table 7 Colorful - Accent 4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5" w:customStyle="1">
    <w:name w:val="List Table 7 Colorful - Accent 5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6" w:customStyle="1">
    <w:name w:val="List Table 7 Colorful - Accent 6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7" w:customStyle="1">
    <w:name w:val="Lined - Accent"/>
    <w:basedOn w:val="8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48" w:customStyle="1">
    <w:name w:val="Lined - Accent 1"/>
    <w:basedOn w:val="8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49" w:customStyle="1">
    <w:name w:val="Lined - Accent 2"/>
    <w:basedOn w:val="8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50" w:customStyle="1">
    <w:name w:val="Lined - Accent 3"/>
    <w:basedOn w:val="8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51" w:customStyle="1">
    <w:name w:val="Lined - Accent 4"/>
    <w:basedOn w:val="8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52" w:customStyle="1">
    <w:name w:val="Lined - Accent 5"/>
    <w:basedOn w:val="8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53" w:customStyle="1">
    <w:name w:val="Lined - Accent 6"/>
    <w:basedOn w:val="8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54" w:customStyle="1">
    <w:name w:val="Bordered &amp; Lined - Accent"/>
    <w:basedOn w:val="8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55" w:customStyle="1">
    <w:name w:val="Bordered &amp; Lined - Accent 1"/>
    <w:basedOn w:val="8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56" w:customStyle="1">
    <w:name w:val="Bordered &amp; Lined - Accent 2"/>
    <w:basedOn w:val="8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57" w:customStyle="1">
    <w:name w:val="Bordered &amp; Lined - Accent 3"/>
    <w:basedOn w:val="8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58" w:customStyle="1">
    <w:name w:val="Bordered &amp; Lined - Accent 4"/>
    <w:basedOn w:val="8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59" w:customStyle="1">
    <w:name w:val="Bordered &amp; Lined - Accent 5"/>
    <w:basedOn w:val="8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60" w:customStyle="1">
    <w:name w:val="Bordered &amp; Lined - Accent 6"/>
    <w:basedOn w:val="8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61" w:customStyle="1">
    <w:name w:val="Bordered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62" w:customStyle="1">
    <w:name w:val="Bordered - Accent 1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63" w:customStyle="1">
    <w:name w:val="Bordered - Accent 2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64" w:customStyle="1">
    <w:name w:val="Bordered - Accent 3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65" w:customStyle="1">
    <w:name w:val="Bordered - Accent 4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66" w:customStyle="1">
    <w:name w:val="Bordered - Accent 5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967" w:customStyle="1">
    <w:name w:val="Bordered - Accent 6"/>
    <w:basedOn w:val="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968">
    <w:name w:val="Hyperlink"/>
    <w:uiPriority w:val="99"/>
    <w:unhideWhenUsed/>
    <w:rPr>
      <w:color w:val="0563c1" w:themeColor="hyperlink"/>
      <w:u w:val="single"/>
    </w:rPr>
  </w:style>
  <w:style w:type="paragraph" w:styleId="969">
    <w:name w:val="footnote text"/>
    <w:basedOn w:val="806"/>
    <w:link w:val="970"/>
    <w:uiPriority w:val="99"/>
    <w:semiHidden/>
    <w:unhideWhenUsed/>
    <w:pPr>
      <w:ind w:left="181" w:hanging="181"/>
      <w:spacing w:line="240" w:lineRule="auto"/>
    </w:pPr>
    <w:rPr>
      <w:rFonts w:ascii="Times New Roman" w:hAnsi="Times New Roman" w:eastAsiaTheme="majorEastAsia"/>
      <w:sz w:val="18"/>
      <w:shd w:val="clear" w:color="auto" w:fill="ffffff"/>
    </w:rPr>
  </w:style>
  <w:style w:type="character" w:styleId="970" w:customStyle="1">
    <w:name w:val="Текст сноски Знак"/>
    <w:basedOn w:val="988"/>
    <w:link w:val="969"/>
    <w:uiPriority w:val="99"/>
    <w:rPr>
      <w:rFonts w:ascii="Times New Roman" w:hAnsi="Times New Roman" w:eastAsiaTheme="majorEastAsia"/>
      <w:b w:val="0"/>
      <w:shd w:val="clear" w:color="auto" w:fill="ffffff"/>
    </w:rPr>
  </w:style>
  <w:style w:type="character" w:styleId="971">
    <w:name w:val="footnote reference"/>
    <w:uiPriority w:val="99"/>
    <w:unhideWhenUsed/>
    <w:rPr>
      <w:vertAlign w:val="superscript"/>
    </w:rPr>
  </w:style>
  <w:style w:type="paragraph" w:styleId="972">
    <w:name w:val="endnote text"/>
    <w:basedOn w:val="806"/>
    <w:link w:val="973"/>
    <w:uiPriority w:val="99"/>
    <w:semiHidden/>
    <w:unhideWhenUsed/>
    <w:pPr>
      <w:spacing w:line="240" w:lineRule="auto"/>
    </w:pPr>
    <w:rPr>
      <w:sz w:val="20"/>
    </w:rPr>
  </w:style>
  <w:style w:type="character" w:styleId="973" w:customStyle="1">
    <w:name w:val="Текст концевой сноски Знак"/>
    <w:link w:val="972"/>
    <w:uiPriority w:val="99"/>
    <w:rPr>
      <w:sz w:val="20"/>
    </w:rPr>
  </w:style>
  <w:style w:type="character" w:styleId="974">
    <w:name w:val="endnote reference"/>
    <w:uiPriority w:val="99"/>
    <w:semiHidden/>
    <w:unhideWhenUsed/>
    <w:rPr>
      <w:vertAlign w:val="superscript"/>
    </w:rPr>
  </w:style>
  <w:style w:type="paragraph" w:styleId="975">
    <w:name w:val="toc 1"/>
    <w:basedOn w:val="806"/>
    <w:next w:val="806"/>
    <w:uiPriority w:val="39"/>
    <w:unhideWhenUsed/>
    <w:pPr>
      <w:ind w:firstLine="0"/>
      <w:spacing w:after="57"/>
    </w:pPr>
  </w:style>
  <w:style w:type="paragraph" w:styleId="976">
    <w:name w:val="toc 2"/>
    <w:basedOn w:val="806"/>
    <w:next w:val="806"/>
    <w:uiPriority w:val="39"/>
    <w:unhideWhenUsed/>
    <w:pPr>
      <w:ind w:left="283" w:firstLine="0"/>
      <w:spacing w:after="57"/>
    </w:pPr>
  </w:style>
  <w:style w:type="paragraph" w:styleId="977">
    <w:name w:val="toc 3"/>
    <w:basedOn w:val="806"/>
    <w:next w:val="806"/>
    <w:uiPriority w:val="39"/>
    <w:unhideWhenUsed/>
    <w:pPr>
      <w:ind w:left="567" w:firstLine="0"/>
      <w:spacing w:after="57"/>
    </w:pPr>
  </w:style>
  <w:style w:type="paragraph" w:styleId="978">
    <w:name w:val="toc 4"/>
    <w:basedOn w:val="806"/>
    <w:next w:val="806"/>
    <w:uiPriority w:val="39"/>
    <w:unhideWhenUsed/>
    <w:pPr>
      <w:ind w:left="850" w:firstLine="0"/>
      <w:spacing w:after="57"/>
    </w:pPr>
  </w:style>
  <w:style w:type="paragraph" w:styleId="979">
    <w:name w:val="toc 5"/>
    <w:basedOn w:val="806"/>
    <w:next w:val="806"/>
    <w:uiPriority w:val="39"/>
    <w:unhideWhenUsed/>
    <w:pPr>
      <w:ind w:left="1134" w:firstLine="0"/>
      <w:spacing w:after="57"/>
    </w:pPr>
  </w:style>
  <w:style w:type="paragraph" w:styleId="980">
    <w:name w:val="toc 6"/>
    <w:basedOn w:val="806"/>
    <w:next w:val="806"/>
    <w:uiPriority w:val="39"/>
    <w:unhideWhenUsed/>
    <w:pPr>
      <w:ind w:left="1417" w:firstLine="0"/>
      <w:spacing w:after="57"/>
    </w:pPr>
  </w:style>
  <w:style w:type="paragraph" w:styleId="981">
    <w:name w:val="toc 7"/>
    <w:basedOn w:val="806"/>
    <w:next w:val="806"/>
    <w:uiPriority w:val="39"/>
    <w:unhideWhenUsed/>
    <w:pPr>
      <w:ind w:left="1701" w:firstLine="0"/>
      <w:spacing w:after="57"/>
    </w:pPr>
  </w:style>
  <w:style w:type="paragraph" w:styleId="982">
    <w:name w:val="toc 8"/>
    <w:basedOn w:val="806"/>
    <w:next w:val="806"/>
    <w:uiPriority w:val="39"/>
    <w:unhideWhenUsed/>
    <w:pPr>
      <w:ind w:left="1984" w:firstLine="0"/>
      <w:spacing w:after="57"/>
    </w:pPr>
  </w:style>
  <w:style w:type="paragraph" w:styleId="983">
    <w:name w:val="toc 9"/>
    <w:basedOn w:val="806"/>
    <w:next w:val="806"/>
    <w:uiPriority w:val="39"/>
    <w:unhideWhenUsed/>
    <w:pPr>
      <w:ind w:left="2268" w:firstLine="0"/>
      <w:spacing w:after="57"/>
    </w:pPr>
  </w:style>
  <w:style w:type="paragraph" w:styleId="984">
    <w:name w:val="TOC Heading"/>
    <w:uiPriority w:val="39"/>
    <w:unhideWhenUsed/>
  </w:style>
  <w:style w:type="paragraph" w:styleId="985">
    <w:name w:val="table of figures"/>
    <w:basedOn w:val="806"/>
    <w:next w:val="806"/>
    <w:uiPriority w:val="99"/>
    <w:unhideWhenUsed/>
  </w:style>
  <w:style w:type="paragraph" w:styleId="986">
    <w:name w:val="No Spacing"/>
    <w:basedOn w:val="806"/>
    <w:uiPriority w:val="1"/>
    <w:qFormat/>
    <w:pPr>
      <w:spacing w:line="240" w:lineRule="auto"/>
    </w:pPr>
  </w:style>
  <w:style w:type="paragraph" w:styleId="987">
    <w:name w:val="List Paragraph"/>
    <w:basedOn w:val="806"/>
    <w:uiPriority w:val="34"/>
    <w:qFormat/>
    <w:pPr>
      <w:contextualSpacing/>
      <w:ind w:left="720"/>
    </w:pPr>
  </w:style>
  <w:style w:type="character" w:styleId="988" w:customStyle="1">
    <w:name w:val="Строгий1"/>
    <w:uiPriority w:val="22"/>
    <w:qFormat/>
    <w:rPr>
      <w:rFonts w:cs="Times New Roman"/>
      <w:b/>
      <w:bCs/>
    </w:rPr>
  </w:style>
  <w:style w:type="table" w:styleId="989" w:customStyle="1">
    <w:name w:val="Сетка таблицы1"/>
    <w:uiPriority w:val="59"/>
    <w:pPr>
      <w:spacing w:after="0" w:line="240" w:lineRule="auto"/>
      <w:shd w:val="nil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W w:w="0" w:type="auto"/>
    </w:tcPr>
  </w:style>
  <w:style w:type="paragraph" w:styleId="990" w:customStyle="1">
    <w:name w:val="Body Text Indent 3"/>
    <w:basedOn w:val="929"/>
    <w:pPr>
      <w:contextualSpacing w:val="0"/>
      <w:ind w:left="0" w:right="0" w:firstLine="851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 CYR" w:hAnsi="Times New Roman CYR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header" Target="header6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customXml" Target="../customXml/item1.xml" /><Relationship Id="rId17" Type="http://schemas.openxmlformats.org/officeDocument/2006/relationships/image" Target="media/image1.png"/><Relationship Id="rId18" Type="http://schemas.openxmlformats.org/officeDocument/2006/relationships/image" Target="media/media1.sv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3BE3AA-C15E-4AE3-9551-B043B9D93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e.o.chechyotkina</cp:lastModifiedBy>
  <cp:revision>9</cp:revision>
  <dcterms:created xsi:type="dcterms:W3CDTF">2026-06-10T14:55:00Z</dcterms:created>
  <dcterms:modified xsi:type="dcterms:W3CDTF">2026-06-11T07:59:39Z</dcterms:modified>
</cp:coreProperties>
</file>